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400"/>
              <w:left w:type="dxa" w:w="360"/>
              <w:bottom w:type="dxa" w:w="400"/>
              <w:right w:type="dxa" w:w="360"/>
            </w:tcMar>
          </w:tcPr>
          <w:p>
            <w:pPr>
              <w:spacing w:after="80" w:before="0"/>
            </w:pPr>
            <w:r>
              <w:rPr>
                <w:rFonts w:ascii="Arial" w:cs="Arial" w:eastAsia="Arial" w:hAnsi="Arial"/>
                <w:b/>
                <w:bCs/>
                <w:color w:val="8AAAD0"/>
                <w:sz w:val="18"/>
                <w:szCs w:val="18"/>
              </w:rPr>
              <w:t xml:space="preserve">COMPANY PROFILE</w:t>
            </w:r>
          </w:p>
          <w:p>
            <w:pPr>
              <w:spacing w:after="100" w:before="0"/>
            </w:pPr>
            <w:r>
              <w:rPr>
                <w:rFonts w:ascii="Arial" w:cs="Arial" w:eastAsia="Arial" w:hAnsi="Arial"/>
                <w:b/>
                <w:bCs/>
                <w:color w:val="FFFFFF"/>
                <w:sz w:val="48"/>
                <w:szCs w:val="48"/>
              </w:rPr>
              <w:t xml:space="preserve">Meridian Intelligence GmbH</w:t>
            </w:r>
          </w:p>
          <w:p>
            <w:pPr>
              <w:spacing w:after="0" w:before="0"/>
            </w:pPr>
            <w:r>
              <w:rPr>
                <w:rFonts w:ascii="Arial" w:cs="Arial" w:eastAsia="Arial" w:hAnsi="Arial"/>
                <w:color w:val="A0BEDE"/>
                <w:sz w:val="22"/>
                <w:szCs w:val="22"/>
              </w:rPr>
              <w:t xml:space="preserve">Market Intelligence  ·  Ecosystem Mapping  ·  Regulatory Data</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Legal 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Meridian Intelligence GmbH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2016</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Headquarters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Luisenstraße 52, 10117 Berlin, Germany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Legal form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Gesellschaft mit beschränkter Haftung (GmbH), registered in Berlin (HRB 192847 B)</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VAT number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DE298473610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Employees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Approx. 35 (FTE), including 6 senior researchers, 8 data engineers, 12 research analysts</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Annual turnover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EUR 4.2M (2024 audited); EUR 3.8M (2023); EUR 3.1M (2022)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Primary clients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European Commission (DG CNECT, DG GROW, JRC), EU regulatory agencies (ENISA, EBA), German federal ministries</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Website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meridian-intelligence.eu</w:t>
            </w:r>
          </w:p>
        </w:tc>
      </w:tr>
    </w:tbl>
    <w:p>
      <w:pPr>
        <w:spacing w:after="0" w:before="160"/>
      </w:pPr>
    </w:p>
    <w:p>
      <w:pPr>
        <w:pStyle w:val="Heading1"/>
        <w:pBdr>
          <w:bottom w:val="single" w:color="2E4A7A" w:sz="4" w:space="4"/>
        </w:pBdr>
        <w:spacing w:after="140" w:before="320"/>
      </w:pPr>
      <w:r>
        <w:rPr>
          <w:rFonts w:ascii="Arial" w:cs="Arial" w:eastAsia="Arial" w:hAnsi="Arial"/>
          <w:b/>
          <w:bCs/>
          <w:color w:val="2E4A7A"/>
          <w:sz w:val="28"/>
          <w:szCs w:val="28"/>
        </w:rPr>
        <w:t xml:space="preserve">Who We Are</w:t>
      </w:r>
    </w:p>
    <w:p>
      <w:pPr>
        <w:spacing w:after="80" w:before="60"/>
        <w:jc w:val="both"/>
      </w:pPr>
      <w:r>
        <w:rPr>
          <w:rFonts w:ascii="Arial" w:cs="Arial" w:eastAsia="Arial" w:hAnsi="Arial"/>
          <w:b w:val="false"/>
          <w:bCs w:val="false"/>
          <w:i w:val="false"/>
          <w:iCs w:val="false"/>
          <w:color w:val="1A2B4A"/>
          <w:sz w:val="22"/>
          <w:szCs w:val="22"/>
        </w:rPr>
        <w:t xml:space="preserve">Meridian Intelligence GmbH is a Berlin-based research and data analytics consultancy specialising in market intelligence for EU institutional clients and large-scale private sector organisations. We help clients understand complex, fragmented markets — identifying who the relevant actors are, how they are distributed, how markets are evolving, and what the evidence base is for regulatory or strategic decisions.</w:t>
      </w:r>
    </w:p>
    <w:p>
      <w:pPr>
        <w:spacing w:after="80" w:before="60"/>
        <w:jc w:val="both"/>
      </w:pPr>
      <w:r>
        <w:rPr>
          <w:rFonts w:ascii="Arial" w:cs="Arial" w:eastAsia="Arial" w:hAnsi="Arial"/>
          <w:b w:val="false"/>
          <w:bCs w:val="false"/>
          <w:i w:val="false"/>
          <w:iCs w:val="false"/>
          <w:color w:val="1A2B4A"/>
          <w:sz w:val="22"/>
          <w:szCs w:val="22"/>
        </w:rPr>
        <w:t xml:space="preserve">We combine proprietary web-based data infrastructure with rigorous research methodology to produce market intelligence that goes beyond what commercial databases can provide. Our work is particularly suited to niche and fragmented markets where standard classification systems fail to capture the relevant population — sectors like cybersecurity, data services, AI, digital media, fintech, and advanced manufacturing.</w:t>
      </w:r>
    </w:p>
    <w:p>
      <w:pPr>
        <w:spacing w:after="80" w:before="60"/>
        <w:jc w:val="both"/>
      </w:pPr>
      <w:r>
        <w:rPr>
          <w:rFonts w:ascii="Arial" w:cs="Arial" w:eastAsia="Arial" w:hAnsi="Arial"/>
          <w:b w:val="false"/>
          <w:bCs w:val="false"/>
          <w:i w:val="false"/>
          <w:iCs w:val="false"/>
          <w:color w:val="1A2B4A"/>
          <w:sz w:val="22"/>
          <w:szCs w:val="22"/>
        </w:rPr>
        <w:t xml:space="preserve">Since 2016, we have delivered more than 40 completed projects for EU institutional clients, with a cumulative dataset volume exceeding 80 million organisational web records processed.</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Our Services</w:t>
      </w:r>
    </w:p>
    <w:p>
      <w:pPr>
        <w:pStyle w:val="Heading2"/>
        <w:spacing w:after="100" w:before="220"/>
      </w:pPr>
      <w:r>
        <w:rPr>
          <w:rFonts w:ascii="Arial" w:cs="Arial" w:eastAsia="Arial" w:hAnsi="Arial"/>
          <w:b/>
          <w:bCs/>
          <w:color w:val="1A2B4A"/>
          <w:sz w:val="23"/>
          <w:szCs w:val="23"/>
        </w:rPr>
        <w:t xml:space="preserve">Market and Ecosystem Mapping</w:t>
      </w:r>
    </w:p>
    <w:p>
      <w:pPr>
        <w:spacing w:after="80" w:before="60"/>
        <w:jc w:val="both"/>
      </w:pPr>
      <w:r>
        <w:rPr>
          <w:rFonts w:ascii="Arial" w:cs="Arial" w:eastAsia="Arial" w:hAnsi="Arial"/>
          <w:b w:val="false"/>
          <w:bCs w:val="false"/>
          <w:i w:val="false"/>
          <w:iCs w:val="false"/>
          <w:color w:val="1A2B4A"/>
          <w:sz w:val="22"/>
          <w:szCs w:val="22"/>
        </w:rPr>
        <w:t xml:space="preserve">We identify and profile all relevant organisations in a defined market — including actors that are invisible to standard databases because they are small, niche, or not self-labelled. Our mapping methodology combines large-scale web data collection, automated classification, and manual verification to produce structured, machine-readable entity datasets with full indicator profiles.</w:t>
      </w:r>
    </w:p>
    <w:p>
      <w:pPr>
        <w:pStyle w:val="Heading2"/>
        <w:spacing w:after="100" w:before="220"/>
      </w:pPr>
      <w:r>
        <w:rPr>
          <w:rFonts w:ascii="Arial" w:cs="Arial" w:eastAsia="Arial" w:hAnsi="Arial"/>
          <w:b/>
          <w:bCs/>
          <w:color w:val="1A2B4A"/>
          <w:sz w:val="23"/>
          <w:szCs w:val="23"/>
        </w:rPr>
        <w:t xml:space="preserve">Continuous Market Monitoring</w:t>
      </w:r>
    </w:p>
    <w:p>
      <w:pPr>
        <w:spacing w:after="80" w:before="60"/>
        <w:jc w:val="both"/>
      </w:pPr>
      <w:r>
        <w:rPr>
          <w:rFonts w:ascii="Arial" w:cs="Arial" w:eastAsia="Arial" w:hAnsi="Arial"/>
          <w:b w:val="false"/>
          <w:bCs w:val="false"/>
          <w:i w:val="false"/>
          <w:iCs w:val="false"/>
          <w:color w:val="1A2B4A"/>
          <w:sz w:val="22"/>
          <w:szCs w:val="22"/>
        </w:rPr>
        <w:t xml:space="preserve">We maintain live monitoring capabilities for client-defined markets, delivering structured updates on new entrants, exits, portfolio changes, and ecosystem shifts. Update cadences range from weekly (for fast-moving markets) to quarterly (for stable sectors). All updates include structured change logs.</w:t>
      </w:r>
    </w:p>
    <w:p>
      <w:pPr>
        <w:pStyle w:val="Heading2"/>
        <w:spacing w:after="100" w:before="220"/>
      </w:pPr>
      <w:r>
        <w:rPr>
          <w:rFonts w:ascii="Arial" w:cs="Arial" w:eastAsia="Arial" w:hAnsi="Arial"/>
          <w:b/>
          <w:bCs/>
          <w:color w:val="1A2B4A"/>
          <w:sz w:val="23"/>
          <w:szCs w:val="23"/>
        </w:rPr>
        <w:t xml:space="preserve">Regulatory and Policy Research</w:t>
      </w:r>
    </w:p>
    <w:p>
      <w:pPr>
        <w:spacing w:after="80" w:before="60"/>
        <w:jc w:val="both"/>
      </w:pPr>
      <w:r>
        <w:rPr>
          <w:rFonts w:ascii="Arial" w:cs="Arial" w:eastAsia="Arial" w:hAnsi="Arial"/>
          <w:b w:val="false"/>
          <w:bCs w:val="false"/>
          <w:i w:val="false"/>
          <w:iCs w:val="false"/>
          <w:color w:val="1A2B4A"/>
          <w:sz w:val="22"/>
          <w:szCs w:val="22"/>
        </w:rPr>
        <w:t xml:space="preserve">We support EU institutions and member state bodies in translating regulatory frameworks into empirical analytical scopes. This includes defining which entities fall within a regulation's coverage, operationalising legal definitions as classification criteria, and producing the evidence base for impact assessments and policy evaluations.</w:t>
      </w:r>
    </w:p>
    <w:p>
      <w:pPr>
        <w:pStyle w:val="Heading2"/>
        <w:spacing w:after="100" w:before="220"/>
      </w:pPr>
      <w:r>
        <w:rPr>
          <w:rFonts w:ascii="Arial" w:cs="Arial" w:eastAsia="Arial" w:hAnsi="Arial"/>
          <w:b/>
          <w:bCs/>
          <w:color w:val="1A2B4A"/>
          <w:sz w:val="23"/>
          <w:szCs w:val="23"/>
        </w:rPr>
        <w:t xml:space="preserve">Supply Chain and Network Analysis</w:t>
      </w:r>
    </w:p>
    <w:p>
      <w:pPr>
        <w:spacing w:after="80" w:before="60"/>
        <w:jc w:val="both"/>
      </w:pPr>
      <w:r>
        <w:rPr>
          <w:rFonts w:ascii="Arial" w:cs="Arial" w:eastAsia="Arial" w:hAnsi="Arial"/>
          <w:b w:val="false"/>
          <w:bCs w:val="false"/>
          <w:i w:val="false"/>
          <w:iCs w:val="false"/>
          <w:color w:val="1A2B4A"/>
          <w:sz w:val="22"/>
          <w:szCs w:val="22"/>
        </w:rPr>
        <w:t xml:space="preserve">We map relationships between organisations in a defined ecosystem — supplier-customer relationships, subcontracting chains, ownership networks, and collaboration links. Our supply chain analysis is derived from web evidence and procurement data rather than self-reported survey responses.</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Our Approach</w:t>
      </w:r>
    </w:p>
    <w:p>
      <w:pPr>
        <w:spacing w:after="80" w:before="60"/>
        <w:jc w:val="both"/>
      </w:pPr>
      <w:r>
        <w:rPr>
          <w:rFonts w:ascii="Arial" w:cs="Arial" w:eastAsia="Arial" w:hAnsi="Arial"/>
          <w:b w:val="false"/>
          <w:bCs w:val="false"/>
          <w:i w:val="false"/>
          <w:iCs w:val="false"/>
          <w:color w:val="1A2B4A"/>
          <w:sz w:val="22"/>
          <w:szCs w:val="22"/>
        </w:rPr>
        <w:t xml:space="preserve">The core of Meridian's methodology is what we call evidence-based organisation profiling: the systematic identification and classification of organisations using observable, verifiable signals rather than self-reported classifications or generic keyword matching.</w:t>
      </w:r>
    </w:p>
    <w:p>
      <w:pPr>
        <w:spacing w:after="0" w:before="60"/>
      </w:pPr>
    </w:p>
    <w:p>
      <w:pPr>
        <w:pStyle w:val="ListParagraph"/>
        <w:numPr>
          <w:ilvl w:val="0"/>
          <w:numId w:val="2"/>
        </w:numPr>
        <w:spacing w:after="40" w:before="40"/>
      </w:pPr>
      <w:r>
        <w:rPr>
          <w:rFonts w:ascii="Arial" w:cs="Arial" w:eastAsia="Arial" w:hAnsi="Arial"/>
          <w:color w:val="1A2B4A"/>
          <w:sz w:val="22"/>
          <w:szCs w:val="22"/>
        </w:rPr>
        <w:t xml:space="preserve">We start with the broadest possible universe of candidates — typically all organisations with a web presence in the relevant geography.</w:t>
      </w:r>
    </w:p>
    <w:p>
      <w:pPr>
        <w:pStyle w:val="ListParagraph"/>
        <w:numPr>
          <w:ilvl w:val="0"/>
          <w:numId w:val="2"/>
        </w:numPr>
        <w:spacing w:after="40" w:before="40"/>
      </w:pPr>
      <w:r>
        <w:rPr>
          <w:rFonts w:ascii="Arial" w:cs="Arial" w:eastAsia="Arial" w:hAnsi="Arial"/>
          <w:color w:val="1A2B4A"/>
          <w:sz w:val="22"/>
          <w:szCs w:val="22"/>
        </w:rPr>
        <w:t xml:space="preserve">We then apply a cascade of classification filters, each requiring a specific type of hard evidence to retain a candidate in scope.</w:t>
      </w:r>
    </w:p>
    <w:p>
      <w:pPr>
        <w:pStyle w:val="ListParagraph"/>
        <w:numPr>
          <w:ilvl w:val="0"/>
          <w:numId w:val="2"/>
        </w:numPr>
        <w:spacing w:after="40" w:before="40"/>
      </w:pPr>
      <w:r>
        <w:rPr>
          <w:rFonts w:ascii="Arial" w:cs="Arial" w:eastAsia="Arial" w:hAnsi="Arial"/>
          <w:color w:val="1A2B4A"/>
          <w:sz w:val="22"/>
          <w:szCs w:val="22"/>
        </w:rPr>
        <w:t xml:space="preserve">We run automated quality checks and a manual verification pass on a statistical sample of each delivered dataset.</w:t>
      </w:r>
    </w:p>
    <w:p>
      <w:pPr>
        <w:pStyle w:val="ListParagraph"/>
        <w:numPr>
          <w:ilvl w:val="0"/>
          <w:numId w:val="2"/>
        </w:numPr>
        <w:spacing w:after="40" w:before="40"/>
      </w:pPr>
      <w:r>
        <w:rPr>
          <w:rFonts w:ascii="Arial" w:cs="Arial" w:eastAsia="Arial" w:hAnsi="Arial"/>
          <w:color w:val="1A2B4A"/>
          <w:sz w:val="22"/>
          <w:szCs w:val="22"/>
        </w:rPr>
        <w:t xml:space="preserve">We track and publish our false-positive rate, coverage rate, and validation statistics with every major deliverable.</w:t>
      </w:r>
    </w:p>
    <w:p>
      <w:pPr>
        <w:spacing w:after="0" w:before="80"/>
      </w:pPr>
    </w:p>
    <w:p>
      <w:pPr>
        <w:spacing w:after="80" w:before="60"/>
        <w:jc w:val="both"/>
      </w:pPr>
      <w:r>
        <w:rPr>
          <w:rFonts w:ascii="Arial" w:cs="Arial" w:eastAsia="Arial" w:hAnsi="Arial"/>
          <w:b w:val="false"/>
          <w:bCs w:val="false"/>
          <w:i w:val="false"/>
          <w:iCs w:val="false"/>
          <w:color w:val="1A2B4A"/>
          <w:sz w:val="22"/>
          <w:szCs w:val="22"/>
        </w:rPr>
        <w:t xml:space="preserve">This approach consistently outperforms database-lookup methods in markets where the relevant actors are not centrally registered or do not self-identify with standard industry labels — which is the case in the majority of our clients' markets of interest.</w:t>
      </w:r>
    </w:p>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Selected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4A7A" w:val="clear"/>
            <w:tcMar>
              <w:top w:type="dxa" w:w="100"/>
              <w:left w:type="dxa" w:w="180"/>
              <w:bottom w:type="dxa" w:w="100"/>
              <w:right w:type="dxa" w:w="180"/>
            </w:tcMar>
          </w:tcPr>
          <w:p>
            <w:r>
              <w:rPr>
                <w:rFonts w:ascii="Arial" w:cs="Arial" w:eastAsia="Arial" w:hAnsi="Arial"/>
                <w:b/>
                <w:bCs/>
                <w:color w:val="FFFFFF"/>
                <w:sz w:val="20"/>
                <w:szCs w:val="20"/>
              </w:rPr>
              <w:t xml:space="preserve">EU Institutions &amp; Agencies</w:t>
            </w:r>
          </w:p>
        </w:tc>
        <w:tc>
          <w:tcPr>
            <w:tcW w:type="dxa" w:w="4680"/>
            <w:tcBorders>
              <w:top w:val="none" w:color="FFFFFF" w:sz="0"/>
              <w:left w:val="none" w:color="FFFFFF" w:sz="0"/>
              <w:bottom w:val="none" w:color="FFFFFF" w:sz="0"/>
              <w:right w:val="none" w:color="FFFFFF" w:sz="0"/>
            </w:tcBorders>
            <w:shd w:fill="2E4A7A" w:val="clear"/>
            <w:tcMar>
              <w:top w:type="dxa" w:w="100"/>
              <w:left w:type="dxa" w:w="180"/>
              <w:bottom w:type="dxa" w:w="100"/>
              <w:right w:type="dxa" w:w="180"/>
            </w:tcMar>
          </w:tcPr>
          <w:p>
            <w:r>
              <w:rPr>
                <w:rFonts w:ascii="Arial" w:cs="Arial" w:eastAsia="Arial" w:hAnsi="Arial"/>
                <w:b/>
                <w:bCs/>
                <w:color w:val="FFFFFF"/>
                <w:sz w:val="20"/>
                <w:szCs w:val="20"/>
              </w:rPr>
              <w:t xml:space="preserve">National &amp; Other Public Bodies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1A2B4A"/>
                <w:sz w:val="20"/>
                <w:szCs w:val="20"/>
              </w:rPr>
              <w:t xml:space="preserve">European Commission (DG CNECT, DG GROW, DG CONNECT, JRC)
Enisa — EU Agency for Cybersecurity
European Banking Authority (EBA)
European Securities and Markets Authority (ESMA)
European Environment Agency (EEA)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1A2B4A"/>
                <w:sz w:val="20"/>
                <w:szCs w:val="20"/>
              </w:rPr>
              <w:t xml:space="preserve">Federal Ministry for Economic Affairs (BMWK), Germany
Federal Ministry for Digital Affairs (BMDV), Germany
Fraunhofer-Gesellschaft (multiple institutes)
Leibniz Association
Several German state development banks (Landesförderbanken)</w:t>
            </w:r>
          </w:p>
        </w:tc>
      </w:tr>
    </w:tbl>
    <w:p>
      <w:pPr>
        <w:spacing w:after="0" w:before="120"/>
      </w:pPr>
    </w:p>
    <w:p>
      <w:pPr>
        <w:pStyle w:val="Heading1"/>
        <w:pBdr>
          <w:bottom w:val="single" w:color="2E4A7A" w:sz="4" w:space="4"/>
        </w:pBdr>
        <w:spacing w:after="140" w:before="320"/>
      </w:pPr>
      <w:r>
        <w:rPr>
          <w:rFonts w:ascii="Arial" w:cs="Arial" w:eastAsia="Arial" w:hAnsi="Arial"/>
          <w:b/>
          <w:bCs/>
          <w:color w:val="2E4A7A"/>
          <w:sz w:val="28"/>
          <w:szCs w:val="28"/>
        </w:rPr>
        <w:t xml:space="preserve">Key Facts for Tender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CPV codes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79300000 (Market and economic research; surveys and statistics), 72316000 (Data analysis services), 73200000 (Research and development consultancy services)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NUTS code (HQ)</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DE300 (Berlin)</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NACE code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M73.20 (Market research and public opinion polling)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ISO 9001 certified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Yes — Certification body: DQS GmbH; Certificate no. DE-122943; valid to December 2026</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GDPR compliance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Full compliance; Data Protection Officer: Dr. Petra Hesse (p.hesse@meridian-intelligence.eu)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EU Participant Register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PIC: 887 432 156</w:t>
            </w:r>
          </w:p>
        </w:tc>
      </w:tr>
      <w:tr>
        <w:tc>
          <w:tcPr>
            <w:tcW w:type="dxa" w:w="2600"/>
            <w:tcBorders>
              <w:top w:val="single" w:color="DDDDDD" w:sz="1"/>
              <w:left w:val="single" w:color="DDDDDD" w:sz="1"/>
              <w:bottom w:val="single" w:color="DDDDDD" w:sz="1"/>
              <w:right w:val="single" w:color="DDDDDD" w:sz="1"/>
            </w:tcBorders>
            <w:shd w:fill="D6E4F5" w:val="clear"/>
            <w:tcMar>
              <w:top w:type="dxa" w:w="80"/>
              <w:left w:type="dxa" w:w="120"/>
              <w:bottom w:type="dxa" w:w="80"/>
              <w:right w:type="dxa" w:w="120"/>
            </w:tcMar>
          </w:tcPr>
          <w:p>
            <w:r>
              <w:rPr>
                <w:rFonts w:ascii="Arial" w:cs="Arial" w:eastAsia="Arial" w:hAnsi="Arial"/>
                <w:b/>
                <w:bCs/>
                <w:color w:val="1A2B4A"/>
                <w:sz w:val="20"/>
                <w:szCs w:val="20"/>
              </w:rPr>
              <w:t xml:space="preserve">Bank details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Deutsche Bank AG Berlin, IBAN: DE82 1007 0024 0512 3400 00, BIC: DEUTDEDB110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B4A"/>
                <w:sz w:val="20"/>
                <w:szCs w:val="20"/>
              </w:rPr>
              <w:t xml:space="preserve">Authorised signatory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B4A"/>
                <w:sz w:val="20"/>
                <w:szCs w:val="20"/>
              </w:rPr>
              <w:t xml:space="preserve">Dr. Anna Becker, Managing Director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4"/>
      </w:pBdr>
    </w:pPr>
    <w:r>
      <w:rPr>
        <w:rFonts w:ascii="Arial" w:cs="Arial" w:eastAsia="Arial" w:hAnsi="Arial"/>
        <w:color w:val="666666"/>
        <w:sz w:val="16"/>
        <w:szCs w:val="16"/>
      </w:rPr>
      <w:t xml:space="preserve">meridian-intelligence.eu  |  Luisenstraße 52, 10117 Berlin  |  +49 30 884 2200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4"/>
      </w:pBdr>
      <w:tabs>
        <w:tab w:val="right" w:pos="9026"/>
      </w:tabs>
    </w:pPr>
    <w:r>
      <w:rPr>
        <w:rFonts w:ascii="Arial" w:cs="Arial" w:eastAsia="Arial" w:hAnsi="Arial"/>
        <w:color w:val="666666"/>
        <w:sz w:val="18"/>
        <w:szCs w:val="18"/>
      </w:rPr>
      <w:t xml:space="preserve">Meridian Intelligence GmbH — Company Profile</w:t>
    </w:r>
    <w:r>
      <w:rPr>
        <w:sz w:val="18"/>
        <w:szCs w:val="18"/>
      </w:rPr>
      <w:t xml:space="preserve">	</w:t>
    </w:r>
    <w:r>
      <w:rPr>
        <w:rFonts w:ascii="Arial" w:cs="Arial" w:eastAsia="Arial" w:hAnsi="Arial"/>
        <w:b/>
        <w:bCs/>
        <w:color w:val="AA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A7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A2B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2026-04-07T21:06:47.837Z</dcterms:created>
  <dcterms:modified xsi:type="dcterms:W3CDTF">2026-04-07T21:06:47.838Z</dcterms:modified>
</cp:coreProperties>
</file>

<file path=docProps/custom.xml><?xml version="1.0" encoding="utf-8"?>
<Properties xmlns="http://schemas.openxmlformats.org/officeDocument/2006/custom-properties" xmlns:vt="http://schemas.openxmlformats.org/officeDocument/2006/docPropsVTypes"/>
</file>