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380"/>
              <w:left w:type="dxa" w:w="360"/>
              <w:bottom w:type="dxa" w:w="380"/>
              <w:right w:type="dxa" w:w="360"/>
            </w:tcMar>
          </w:tcPr>
          <w:p>
            <w:pPr>
              <w:spacing w:after="80" w:before="0"/>
            </w:pPr>
            <w:r>
              <w:rPr>
                <w:rFonts w:ascii="Arial" w:cs="Arial" w:eastAsia="Arial" w:hAnsi="Arial"/>
                <w:b/>
                <w:bCs/>
                <w:color w:val="8AAAD0"/>
                <w:sz w:val="18"/>
                <w:szCs w:val="18"/>
              </w:rPr>
              <w:t xml:space="preserve">METHODOLOGY OVERVIEW</w:t>
            </w:r>
          </w:p>
          <w:p>
            <w:pPr>
              <w:spacing w:after="100" w:before="0"/>
            </w:pPr>
            <w:r>
              <w:rPr>
                <w:rFonts w:ascii="Arial" w:cs="Arial" w:eastAsia="Arial" w:hAnsi="Arial"/>
                <w:b/>
                <w:bCs/>
                <w:color w:val="FFFFFF"/>
                <w:sz w:val="40"/>
                <w:szCs w:val="40"/>
              </w:rPr>
              <w:t xml:space="preserve">WebMap: Meridian's Web-Based Organisation Profiling Framework</w:t>
            </w:r>
          </w:p>
          <w:p>
            <w:pPr>
              <w:spacing w:after="0" w:before="0"/>
            </w:pPr>
            <w:r>
              <w:rPr>
                <w:rFonts w:ascii="Arial" w:cs="Arial" w:eastAsia="Arial" w:hAnsi="Arial"/>
                <w:color w:val="A0BEDE"/>
                <w:sz w:val="20"/>
                <w:szCs w:val="20"/>
              </w:rPr>
              <w:t xml:space="preserve">Version 4.1  |  March 2025  |  For inclusion in tender submissions</w:t>
            </w:r>
          </w:p>
        </w:tc>
      </w:tr>
    </w:tbl>
    <w:p>
      <w:pPr>
        <w:spacing w:after="0" w:before="200"/>
      </w:pPr>
    </w:p>
    <w:p>
      <w:pPr>
        <w:pStyle w:val="Heading1"/>
        <w:pBdr>
          <w:bottom w:val="single" w:color="2E4A7A" w:sz="4" w:space="4"/>
        </w:pBdr>
        <w:spacing w:after="140" w:before="320"/>
      </w:pPr>
      <w:r>
        <w:rPr>
          <w:rFonts w:ascii="Arial" w:cs="Arial" w:eastAsia="Arial" w:hAnsi="Arial"/>
          <w:b/>
          <w:bCs/>
          <w:color w:val="2E4A7A"/>
          <w:sz w:val="28"/>
          <w:szCs w:val="28"/>
        </w:rPr>
        <w:t xml:space="preserve">1. Overview</w:t>
      </w:r>
    </w:p>
    <w:p>
      <w:pPr>
        <w:spacing w:after="80" w:before="60"/>
        <w:jc w:val="both"/>
      </w:pPr>
      <w:r>
        <w:rPr>
          <w:rFonts w:ascii="Arial" w:cs="Arial" w:eastAsia="Arial" w:hAnsi="Arial"/>
          <w:b w:val="false"/>
          <w:bCs w:val="false"/>
          <w:i w:val="false"/>
          <w:iCs w:val="false"/>
          <w:color w:val="1A2B4A"/>
          <w:sz w:val="22"/>
          <w:szCs w:val="22"/>
        </w:rPr>
        <w:t xml:space="preserve">WebMap is Meridian Intelligence's proprietary framework for the systematic identification, classification, and continuous monitoring of organisations in defined markets. It has been developed iteratively since 2017 and applied in more than 25 completed projects covering markets ranging from cybersecurity SMEs to media publishers to advanced manufacturing firms across the EU27.</w:t>
      </w:r>
    </w:p>
    <w:p>
      <w:pPr>
        <w:spacing w:after="80" w:before="60"/>
        <w:jc w:val="both"/>
      </w:pPr>
      <w:r>
        <w:rPr>
          <w:rFonts w:ascii="Arial" w:cs="Arial" w:eastAsia="Arial" w:hAnsi="Arial"/>
          <w:b w:val="false"/>
          <w:bCs w:val="false"/>
          <w:i w:val="false"/>
          <w:iCs w:val="false"/>
          <w:color w:val="1A2B4A"/>
          <w:sz w:val="22"/>
          <w:szCs w:val="22"/>
        </w:rPr>
        <w:t xml:space="preserve">The core design principle of WebMap is evidence-first classification: organisations are retained in a defined market scope only if verifiable evidence supports their inclusion, not because they match a generic keyword or appear in a particular database. This produces lower headline counts than database-lookup approaches but substantially higher precision — typically validated false-positive rates of under 3%.</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2. Pipeline Architecture</w:t>
      </w:r>
    </w:p>
    <w:p>
      <w:pPr>
        <w:spacing w:after="80" w:before="60"/>
        <w:jc w:val="both"/>
      </w:pPr>
      <w:r>
        <w:rPr>
          <w:rFonts w:ascii="Arial" w:cs="Arial" w:eastAsia="Arial" w:hAnsi="Arial"/>
          <w:b w:val="false"/>
          <w:bCs w:val="false"/>
          <w:i w:val="false"/>
          <w:iCs w:val="false"/>
          <w:color w:val="1A2B4A"/>
          <w:sz w:val="22"/>
          <w:szCs w:val="22"/>
        </w:rPr>
        <w:t xml:space="preserve">WebMap operates as a five-stage pipeline. Each stage is modular and can be configured independently for a given project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Stage 1</w:t>
            </w:r>
          </w:p>
        </w:tc>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color w:val="1A2B4A"/>
                <w:sz w:val="20"/>
                <w:szCs w:val="20"/>
              </w:rPr>
              <w:t xml:space="preserve">Seed Universe</w:t>
            </w:r>
          </w:p>
        </w:tc>
        <w:tc>
          <w:tcPr>
            <w:tcW w:type="dxa" w:w="5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Ingest candidate organisations from Tier 1 and Tier 2 sources. Apply geographic and sector pre-filters. Output: raw candidate list (millions of records).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Stage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Deduplication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Resolve entity duplicates using VAT number matching, fuzzy name matching (Jaro-Winkler ≥ 0.92), and domain-level consolidation. Output: deduplicated candidate list.</w:t>
            </w:r>
          </w:p>
        </w:tc>
      </w:tr>
      <w:tr>
        <w:tc>
          <w:tcPr>
            <w:tcW w:type="dxa" w:w="1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Stage 3</w:t>
            </w:r>
          </w:p>
        </w:tc>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color w:val="1A2B4A"/>
                <w:sz w:val="20"/>
                <w:szCs w:val="20"/>
              </w:rPr>
              <w:t xml:space="preserve">Web Data Collection</w:t>
            </w:r>
          </w:p>
        </w:tc>
        <w:tc>
          <w:tcPr>
            <w:tcW w:type="dxa" w:w="5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color w:val="1A2B4A"/>
                <w:sz w:val="20"/>
                <w:szCs w:val="20"/>
              </w:rPr>
              <w:t xml:space="preserve">Crawl primary web domain for each candidate. Extract text from About, Products, Services, Team pages. Archive raw content with timestamp.</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Stage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Evidence Classification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Apply NLP-based classifiers to extracted text. Flag entities with hard evidence matching the project scope criteria. Reject entities with no matching evidence.</w:t>
            </w:r>
          </w:p>
        </w:tc>
      </w:tr>
      <w:tr>
        <w:tc>
          <w:tcPr>
            <w:tcW w:type="dxa" w:w="1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Stage 5</w:t>
            </w:r>
          </w:p>
        </w:tc>
        <w:tc>
          <w:tcPr>
            <w:tcW w:type="dxa" w:w="22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bCs/>
                <w:color w:val="1A2B4A"/>
                <w:sz w:val="20"/>
                <w:szCs w:val="20"/>
              </w:rPr>
              <w:t xml:space="preserve">Verification &amp; Profiling</w:t>
            </w:r>
          </w:p>
        </w:tc>
        <w:tc>
          <w:tcPr>
            <w:tcW w:type="dxa" w:w="57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b w:val="false"/>
                <w:bCs w:val="false"/>
                <w:color w:val="1A2B4A"/>
                <w:sz w:val="20"/>
                <w:szCs w:val="20"/>
              </w:rPr>
              <w:t xml:space="preserve">Manual spot-check of a 5% random sample. Derive structured indicator profiles for verified entities. Produce machine-readable output dataset.</w:t>
            </w:r>
          </w:p>
        </w:tc>
      </w:tr>
    </w:tbl>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3. Seed Universe Construction</w:t>
      </w:r>
    </w:p>
    <w:p>
      <w:pPr>
        <w:spacing w:after="80" w:before="60"/>
        <w:jc w:val="both"/>
      </w:pPr>
      <w:r>
        <w:rPr>
          <w:rFonts w:ascii="Arial" w:cs="Arial" w:eastAsia="Arial" w:hAnsi="Arial"/>
          <w:b w:val="false"/>
          <w:bCs w:val="false"/>
          <w:i w:val="false"/>
          <w:iCs w:val="false"/>
          <w:color w:val="1A2B4A"/>
          <w:sz w:val="22"/>
          <w:szCs w:val="22"/>
        </w:rPr>
        <w:t xml:space="preserve">The seed universe is constructed by combining multiple source tiers:</w:t>
      </w:r>
    </w:p>
    <w:p>
      <w:pPr>
        <w:spacing w:after="0" w:before="60"/>
      </w:pPr>
    </w:p>
    <w:p>
      <w:pPr>
        <w:pStyle w:val="ListParagraph"/>
        <w:numPr>
          <w:ilvl w:val="0"/>
          <w:numId w:val="2"/>
        </w:numPr>
        <w:spacing w:after="40" w:before="40"/>
      </w:pPr>
      <w:r>
        <w:rPr>
          <w:rFonts w:ascii="Arial" w:cs="Arial" w:eastAsia="Arial" w:hAnsi="Arial"/>
          <w:color w:val="1A2B4A"/>
          <w:sz w:val="22"/>
          <w:szCs w:val="22"/>
        </w:rPr>
        <w:t xml:space="preserve">Tier 1 (official registries): national company registers (accessed via OpenCorporates API and national registry APIs), Eurostat FAME, EU VAT information exchange system (VIES). These provide legal names, registration numbers, founding dates, and registered addresses.</w:t>
      </w:r>
    </w:p>
    <w:p>
      <w:pPr>
        <w:pStyle w:val="ListParagraph"/>
        <w:numPr>
          <w:ilvl w:val="0"/>
          <w:numId w:val="2"/>
        </w:numPr>
        <w:spacing w:after="40" w:before="40"/>
      </w:pPr>
      <w:r>
        <w:rPr>
          <w:rFonts w:ascii="Arial" w:cs="Arial" w:eastAsia="Arial" w:hAnsi="Arial"/>
          <w:color w:val="1A2B4A"/>
          <w:sz w:val="22"/>
          <w:szCs w:val="22"/>
        </w:rPr>
        <w:t xml:space="preserve">Tier 2 (web-derived): CommonCrawl and Meridian's proprietary web index cover primary organisational domains. These provide web content and capability signals for entities that may not appear prominently in Tier 1 sources.</w:t>
      </w:r>
    </w:p>
    <w:p>
      <w:pPr>
        <w:pStyle w:val="ListParagraph"/>
        <w:numPr>
          <w:ilvl w:val="0"/>
          <w:numId w:val="2"/>
        </w:numPr>
        <w:spacing w:after="40" w:before="40"/>
      </w:pPr>
      <w:r>
        <w:rPr>
          <w:rFonts w:ascii="Arial" w:cs="Arial" w:eastAsia="Arial" w:hAnsi="Arial"/>
          <w:color w:val="1A2B4A"/>
          <w:sz w:val="22"/>
          <w:szCs w:val="22"/>
        </w:rPr>
        <w:t xml:space="preserve">Tier 3 (supplementary): LinkedIn company pages, Crunchbase, sector-specific registries (e.g. Marktstammdatenregister for German energy sector, patent databases). Used for signal enrichment only, not as primary identification sources.</w:t>
      </w:r>
    </w:p>
    <w:p>
      <w:pPr>
        <w:spacing w:after="0" w:before="80"/>
      </w:pPr>
    </w:p>
    <w:p>
      <w:pPr>
        <w:spacing w:after="80" w:before="60"/>
        <w:jc w:val="both"/>
      </w:pPr>
      <w:r>
        <w:rPr>
          <w:rFonts w:ascii="Arial" w:cs="Arial" w:eastAsia="Arial" w:hAnsi="Arial"/>
          <w:b w:val="false"/>
          <w:bCs w:val="false"/>
          <w:i w:val="false"/>
          <w:iCs w:val="false"/>
          <w:color w:val="1A2B4A"/>
          <w:sz w:val="22"/>
          <w:szCs w:val="22"/>
        </w:rPr>
        <w:t xml:space="preserve">Seed universe size varies by project: EU-wide mappings of broad sectors typically start from 2–10 million candidates before filtering. Narrow, high-precision scopes may start from 100,000–500,000 candidates.</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4. Evidence Classification</w:t>
      </w:r>
    </w:p>
    <w:p>
      <w:pPr>
        <w:spacing w:after="80" w:before="60"/>
        <w:jc w:val="both"/>
      </w:pPr>
      <w:r>
        <w:rPr>
          <w:rFonts w:ascii="Arial" w:cs="Arial" w:eastAsia="Arial" w:hAnsi="Arial"/>
          <w:b w:val="false"/>
          <w:bCs w:val="false"/>
          <w:i w:val="false"/>
          <w:iCs w:val="false"/>
          <w:color w:val="1A2B4A"/>
          <w:sz w:val="22"/>
          <w:szCs w:val="22"/>
        </w:rPr>
        <w:t xml:space="preserve">WebMap's classification logic is configured per project based on a scope definition document agreed with the client. The scope definition specifies: the target entity types; the legal or regulatory definition of relevance (if applicable); the accepted evidence types; and the rejection criteria for ambiguous cases.</w:t>
      </w:r>
    </w:p>
    <w:p>
      <w:pPr>
        <w:spacing w:after="0" w:before="60"/>
      </w:pPr>
    </w:p>
    <w:p>
      <w:pPr>
        <w:spacing w:after="80" w:before="60"/>
        <w:jc w:val="both"/>
      </w:pPr>
      <w:r>
        <w:rPr>
          <w:rFonts w:ascii="Arial" w:cs="Arial" w:eastAsia="Arial" w:hAnsi="Arial"/>
          <w:b w:val="false"/>
          <w:bCs w:val="false"/>
          <w:i w:val="false"/>
          <w:iCs w:val="false"/>
          <w:color w:val="1A2B4A"/>
          <w:sz w:val="22"/>
          <w:szCs w:val="22"/>
        </w:rPr>
        <w:t xml:space="preserve">Evidence types accepted as hard signals of relevance (weighted by strength):</w:t>
      </w:r>
    </w:p>
    <w:p>
      <w:pPr>
        <w:spacing w:after="0" w:before="40"/>
      </w:pPr>
    </w:p>
    <w:p>
      <w:pPr>
        <w:pStyle w:val="ListParagraph"/>
        <w:numPr>
          <w:ilvl w:val="0"/>
          <w:numId w:val="2"/>
        </w:numPr>
        <w:spacing w:after="40" w:before="40"/>
      </w:pPr>
      <w:r>
        <w:rPr>
          <w:rFonts w:ascii="Arial" w:cs="Arial" w:eastAsia="Arial" w:hAnsi="Arial"/>
          <w:color w:val="1A2B4A"/>
          <w:sz w:val="22"/>
          <w:szCs w:val="22"/>
        </w:rPr>
        <w:t xml:space="preserve">Explicit product or service description on the entity's own website (highest weight)</w:t>
      </w:r>
    </w:p>
    <w:p>
      <w:pPr>
        <w:pStyle w:val="ListParagraph"/>
        <w:numPr>
          <w:ilvl w:val="0"/>
          <w:numId w:val="2"/>
        </w:numPr>
        <w:spacing w:after="40" w:before="40"/>
      </w:pPr>
      <w:r>
        <w:rPr>
          <w:rFonts w:ascii="Arial" w:cs="Arial" w:eastAsia="Arial" w:hAnsi="Arial"/>
          <w:color w:val="1A2B4A"/>
          <w:sz w:val="22"/>
          <w:szCs w:val="22"/>
        </w:rPr>
        <w:t xml:space="preserve">Procurement record identifying the entity as a supplier/contractor in the relevant category</w:t>
      </w:r>
    </w:p>
    <w:p>
      <w:pPr>
        <w:pStyle w:val="ListParagraph"/>
        <w:numPr>
          <w:ilvl w:val="0"/>
          <w:numId w:val="2"/>
        </w:numPr>
        <w:spacing w:after="40" w:before="40"/>
      </w:pPr>
      <w:r>
        <w:rPr>
          <w:rFonts w:ascii="Arial" w:cs="Arial" w:eastAsia="Arial" w:hAnsi="Arial"/>
          <w:color w:val="1A2B4A"/>
          <w:sz w:val="22"/>
          <w:szCs w:val="22"/>
        </w:rPr>
        <w:t xml:space="preserve">Job posting for a role specific to the relevant category (within 18 months of collection date)</w:t>
      </w:r>
    </w:p>
    <w:p>
      <w:pPr>
        <w:pStyle w:val="ListParagraph"/>
        <w:numPr>
          <w:ilvl w:val="0"/>
          <w:numId w:val="2"/>
        </w:numPr>
        <w:spacing w:after="40" w:before="40"/>
      </w:pPr>
      <w:r>
        <w:rPr>
          <w:rFonts w:ascii="Arial" w:cs="Arial" w:eastAsia="Arial" w:hAnsi="Arial"/>
          <w:color w:val="1A2B4A"/>
          <w:sz w:val="22"/>
          <w:szCs w:val="22"/>
        </w:rPr>
        <w:t xml:space="preserve">Patent filing or technical certification in the relevant area</w:t>
      </w:r>
    </w:p>
    <w:p>
      <w:pPr>
        <w:pStyle w:val="ListParagraph"/>
        <w:numPr>
          <w:ilvl w:val="0"/>
          <w:numId w:val="2"/>
        </w:numPr>
        <w:spacing w:after="40" w:before="40"/>
      </w:pPr>
      <w:r>
        <w:rPr>
          <w:rFonts w:ascii="Arial" w:cs="Arial" w:eastAsia="Arial" w:hAnsi="Arial"/>
          <w:color w:val="1A2B4A"/>
          <w:sz w:val="22"/>
          <w:szCs w:val="22"/>
        </w:rPr>
        <w:t xml:space="preserve">Membership in a relevant trade association or standards body</w:t>
      </w:r>
    </w:p>
    <w:p>
      <w:pPr>
        <w:pStyle w:val="ListParagraph"/>
        <w:numPr>
          <w:ilvl w:val="0"/>
          <w:numId w:val="2"/>
        </w:numPr>
        <w:spacing w:after="40" w:before="40"/>
      </w:pPr>
      <w:r>
        <w:rPr>
          <w:rFonts w:ascii="Arial" w:cs="Arial" w:eastAsia="Arial" w:hAnsi="Arial"/>
          <w:color w:val="1A2B4A"/>
          <w:sz w:val="22"/>
          <w:szCs w:val="22"/>
        </w:rPr>
        <w:t xml:space="preserve">Academic publication or research output in the relevant area (for research-facing scopes)</w:t>
      </w:r>
    </w:p>
    <w:p>
      <w:pPr>
        <w:spacing w:after="0" w:before="80"/>
      </w:pPr>
    </w:p>
    <w:p>
      <w:pPr>
        <w:spacing w:after="80" w:before="60"/>
        <w:jc w:val="both"/>
      </w:pPr>
      <w:r>
        <w:rPr>
          <w:rFonts w:ascii="Arial" w:cs="Arial" w:eastAsia="Arial" w:hAnsi="Arial"/>
          <w:b w:val="false"/>
          <w:bCs w:val="false"/>
          <w:i w:val="false"/>
          <w:iCs w:val="false"/>
          <w:color w:val="1A2B4A"/>
          <w:sz w:val="22"/>
          <w:szCs w:val="22"/>
        </w:rPr>
        <w:t xml:space="preserve">Generic signals that are NOT accepted as standalone hard evidence:</w:t>
      </w:r>
    </w:p>
    <w:p>
      <w:pPr>
        <w:spacing w:after="0" w:before="40"/>
      </w:pPr>
    </w:p>
    <w:p>
      <w:pPr>
        <w:pStyle w:val="ListParagraph"/>
        <w:numPr>
          <w:ilvl w:val="0"/>
          <w:numId w:val="2"/>
        </w:numPr>
        <w:spacing w:after="40" w:before="40"/>
      </w:pPr>
      <w:r>
        <w:rPr>
          <w:rFonts w:ascii="Arial" w:cs="Arial" w:eastAsia="Arial" w:hAnsi="Arial"/>
          <w:color w:val="1A2B4A"/>
          <w:sz w:val="22"/>
          <w:szCs w:val="22"/>
        </w:rPr>
        <w:t xml:space="preserve">Generic technology keywords ('digital solutions', 'innovation', 'AI-powered') without specific product context</w:t>
      </w:r>
    </w:p>
    <w:p>
      <w:pPr>
        <w:pStyle w:val="ListParagraph"/>
        <w:numPr>
          <w:ilvl w:val="0"/>
          <w:numId w:val="2"/>
        </w:numPr>
        <w:spacing w:after="40" w:before="40"/>
      </w:pPr>
      <w:r>
        <w:rPr>
          <w:rFonts w:ascii="Arial" w:cs="Arial" w:eastAsia="Arial" w:hAnsi="Arial"/>
          <w:color w:val="1A2B4A"/>
          <w:sz w:val="22"/>
          <w:szCs w:val="22"/>
        </w:rPr>
        <w:t xml:space="preserve">Presence in a general business directory or industry listing without activity-specific content</w:t>
      </w:r>
    </w:p>
    <w:p>
      <w:pPr>
        <w:pStyle w:val="ListParagraph"/>
        <w:numPr>
          <w:ilvl w:val="0"/>
          <w:numId w:val="2"/>
        </w:numPr>
        <w:spacing w:after="40" w:before="40"/>
      </w:pPr>
      <w:r>
        <w:rPr>
          <w:rFonts w:ascii="Arial" w:cs="Arial" w:eastAsia="Arial" w:hAnsi="Arial"/>
          <w:color w:val="1A2B4A"/>
          <w:sz w:val="22"/>
          <w:szCs w:val="22"/>
        </w:rPr>
        <w:t xml:space="preserve">Single indirect mention in a third-party article or news story</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5. Indicator Derivation</w:t>
      </w:r>
    </w:p>
    <w:p>
      <w:pPr>
        <w:spacing w:after="80" w:before="60"/>
        <w:jc w:val="both"/>
      </w:pPr>
      <w:r>
        <w:rPr>
          <w:rFonts w:ascii="Arial" w:cs="Arial" w:eastAsia="Arial" w:hAnsi="Arial"/>
          <w:b w:val="false"/>
          <w:bCs w:val="false"/>
          <w:i w:val="false"/>
          <w:iCs w:val="false"/>
          <w:color w:val="1A2B4A"/>
          <w:sz w:val="22"/>
          <w:szCs w:val="22"/>
        </w:rPr>
        <w:t xml:space="preserve">For each entity that passes the evidence classification stage, WebMap derives a structured indicator profile. Standard indicators across all projects: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00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Derivation source</w:t>
            </w:r>
          </w:p>
        </w:tc>
        <w:tc>
          <w:tcPr>
            <w:tcW w:type="dxa" w:w="356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Validation approach</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Legal name</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Company registry (Tier 1)</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Cross-check against web domain WHOIS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Country of establishment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Registry + IP geolocation of primary domain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Registry country has precedence</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Employee size band</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LinkedIn + Eurostat SSBF benchmarks</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Validated against registry filings where available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Revenue band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Registry annual accounts (where filed publicly)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Cross-check against employee size band for plausibility</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Primary NACE code</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Registry reported; overridden by NLP classifier if confidence &gt; 0.85</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Must match at 2-digit level in &gt; 80% of cases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Activity start year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Registry founding date or earliest web archive snapshot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Must be ≤ current year and ≥ 1900</w:t>
            </w:r>
          </w:p>
        </w:tc>
      </w:tr>
      <w:tr>
        <w:tc>
          <w:tcPr>
            <w:tcW w:type="dxa" w:w="28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Evidence type(s)</w:t>
            </w:r>
          </w:p>
        </w:tc>
        <w:tc>
          <w:tcPr>
            <w:tcW w:type="dxa" w:w="30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Logged during classification stage</w:t>
            </w:r>
          </w:p>
        </w:tc>
        <w:tc>
          <w:tcPr>
            <w:tcW w:type="dxa" w:w="35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Human-readable list of supporting evidence for each entity</w:t>
            </w:r>
          </w:p>
        </w:tc>
      </w:tr>
    </w:tbl>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6. Update and Monitoring Cadence</w:t>
      </w:r>
    </w:p>
    <w:p>
      <w:pPr>
        <w:spacing w:after="80" w:before="60"/>
        <w:jc w:val="both"/>
      </w:pPr>
      <w:r>
        <w:rPr>
          <w:rFonts w:ascii="Arial" w:cs="Arial" w:eastAsia="Arial" w:hAnsi="Arial"/>
          <w:b w:val="false"/>
          <w:bCs w:val="false"/>
          <w:i w:val="false"/>
          <w:iCs w:val="false"/>
          <w:color w:val="1A2B4A"/>
          <w:sz w:val="22"/>
          <w:szCs w:val="22"/>
        </w:rPr>
        <w:t xml:space="preserve">WebMap is designed to support continuous monitoring, not one-time studies. The standard update workflow:</w:t>
      </w:r>
    </w:p>
    <w:p>
      <w:pPr>
        <w:spacing w:after="0" w:before="60"/>
      </w:pPr>
    </w:p>
    <w:p>
      <w:pPr>
        <w:pStyle w:val="ListParagraph"/>
        <w:numPr>
          <w:ilvl w:val="0"/>
          <w:numId w:val="2"/>
        </w:numPr>
        <w:spacing w:after="40" w:before="40"/>
      </w:pPr>
      <w:r>
        <w:rPr>
          <w:rFonts w:ascii="Arial" w:cs="Arial" w:eastAsia="Arial" w:hAnsi="Arial"/>
          <w:color w:val="1A2B4A"/>
          <w:sz w:val="22"/>
          <w:szCs w:val="22"/>
        </w:rPr>
        <w:t xml:space="preserve">Monthly: Automated re-crawl of all entity primary domains. Flag entities with significant content changes (&gt;15% cosine distance from previous snapshot).</w:t>
      </w:r>
    </w:p>
    <w:p>
      <w:pPr>
        <w:pStyle w:val="ListParagraph"/>
        <w:numPr>
          <w:ilvl w:val="0"/>
          <w:numId w:val="2"/>
        </w:numPr>
        <w:spacing w:after="40" w:before="40"/>
      </w:pPr>
      <w:r>
        <w:rPr>
          <w:rFonts w:ascii="Arial" w:cs="Arial" w:eastAsia="Arial" w:hAnsi="Arial"/>
          <w:color w:val="1A2B4A"/>
          <w:sz w:val="22"/>
          <w:szCs w:val="22"/>
        </w:rPr>
        <w:t xml:space="preserve">Quarterly: Full pipeline re-run for new entrant identification in the seed universe. Produce structured change log (additions, removals, indicator changes).</w:t>
      </w:r>
    </w:p>
    <w:p>
      <w:pPr>
        <w:pStyle w:val="ListParagraph"/>
        <w:numPr>
          <w:ilvl w:val="0"/>
          <w:numId w:val="2"/>
        </w:numPr>
        <w:spacing w:after="40" w:before="40"/>
      </w:pPr>
      <w:r>
        <w:rPr>
          <w:rFonts w:ascii="Arial" w:cs="Arial" w:eastAsia="Arial" w:hAnsi="Arial"/>
          <w:color w:val="1A2B4A"/>
          <w:sz w:val="22"/>
          <w:szCs w:val="22"/>
        </w:rPr>
        <w:t xml:space="preserve">Annual: Full coverage audit. Re-run precision and recall estimation against reference benchmark. Update classifier models with new training data.</w:t>
      </w:r>
    </w:p>
    <w:p>
      <w:pPr>
        <w:spacing w:after="0" w:before="80"/>
      </w:pPr>
    </w:p>
    <w:p>
      <w:pPr>
        <w:spacing w:after="80" w:before="60"/>
        <w:jc w:val="both"/>
      </w:pPr>
      <w:r>
        <w:rPr>
          <w:rFonts w:ascii="Arial" w:cs="Arial" w:eastAsia="Arial" w:hAnsi="Arial"/>
          <w:b w:val="false"/>
          <w:bCs w:val="false"/>
          <w:i w:val="false"/>
          <w:iCs w:val="false"/>
          <w:color w:val="1A2B4A"/>
          <w:sz w:val="22"/>
          <w:szCs w:val="22"/>
        </w:rPr>
        <w:t xml:space="preserve">Typical delivery latency from data collection close to client delivery: 15 working days for quarterly updates; 30 working days for annual full refresh.</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7. Quality Metrics — Benchmark Performance</w:t>
      </w:r>
    </w:p>
    <w:p>
      <w:pPr>
        <w:spacing w:after="80" w:before="60"/>
        <w:jc w:val="both"/>
      </w:pPr>
      <w:r>
        <w:rPr>
          <w:rFonts w:ascii="Arial" w:cs="Arial" w:eastAsia="Arial" w:hAnsi="Arial"/>
          <w:b w:val="false"/>
          <w:bCs w:val="false"/>
          <w:i w:val="false"/>
          <w:iCs w:val="false"/>
          <w:color w:val="1A2B4A"/>
          <w:sz w:val="22"/>
          <w:szCs w:val="22"/>
        </w:rPr>
        <w:t xml:space="preserve">The following figures are based on internal audits across completed projects. Client-facing accuracy commitments are specified in individual contracts.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Typical performance</w:t>
            </w:r>
          </w:p>
        </w:tc>
        <w:tc>
          <w:tcPr>
            <w:tcW w:type="dxa" w:w="3360"/>
            <w:tcBorders>
              <w:top w:val="none" w:color="FFFFFF" w:sz="0"/>
              <w:left w:val="none" w:color="FFFFFF" w:sz="0"/>
              <w:bottom w:val="none" w:color="FFFFFF" w:sz="0"/>
              <w:right w:val="none" w:color="FFFFFF" w:sz="0"/>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False-positive rate (final delivered dataset)</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&lt; 3%</w:t>
            </w:r>
          </w:p>
        </w:tc>
        <w:tc>
          <w:tcPr>
            <w:tcW w:type="dxa" w:w="33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Random 5% sample manual audit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Duplicate rate (post-deduplication)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&lt; 1.5%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100% automated cross-check</w:t>
            </w:r>
          </w:p>
        </w:tc>
      </w:tr>
      <w:tr>
        <w:tc>
          <w:tcPr>
            <w:tcW w:type="dxa" w:w="3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Large enterprise coverage (250+ employees)</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 95%</w:t>
            </w:r>
          </w:p>
        </w:tc>
        <w:tc>
          <w:tcPr>
            <w:tcW w:type="dxa" w:w="33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Comparison vs. Eurostat SSBF by sector/country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SME coverage (10–249 employees)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 75–85% (sector-dependent)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Comparison vs. Eurostat SSBF</w:t>
            </w:r>
          </w:p>
        </w:tc>
      </w:tr>
      <w:tr>
        <w:tc>
          <w:tcPr>
            <w:tcW w:type="dxa" w:w="36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NLP classifier precision (held-out test set)</w:t>
            </w:r>
          </w:p>
        </w:tc>
        <w:tc>
          <w:tcPr>
            <w:tcW w:type="dxa" w:w="240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0.84–0.91 (project-dependent)</w:t>
            </w:r>
          </w:p>
        </w:tc>
        <w:tc>
          <w:tcPr>
            <w:tcW w:type="dxa" w:w="3360"/>
            <w:tcBorders>
              <w:top w:val="single" w:color="DDDDDD" w:sz="1"/>
              <w:left w:val="single" w:color="DDDDDD" w:sz="1"/>
              <w:bottom w:val="single" w:color="DDDDDD" w:sz="1"/>
              <w:right w:val="single" w:color="DDDDDD" w:sz="1"/>
            </w:tcBorders>
            <w:shd w:fill="F5F8FF" w:val="clear"/>
            <w:tcMar>
              <w:top w:type="dxa" w:w="80"/>
              <w:left w:type="dxa" w:w="120"/>
              <w:bottom w:type="dxa" w:w="80"/>
              <w:right w:type="dxa" w:w="120"/>
            </w:tcMar>
          </w:tcPr>
          <w:p>
            <w:r>
              <w:rPr>
                <w:rFonts w:ascii="Arial" w:cs="Arial" w:eastAsia="Arial" w:hAnsi="Arial"/>
                <w:color w:val="1A2B4A"/>
                <w:sz w:val="20"/>
                <w:szCs w:val="20"/>
              </w:rPr>
              <w:t xml:space="preserve">Stratified random split; reported per project</w:t>
            </w:r>
          </w:p>
        </w:tc>
      </w:tr>
    </w:tbl>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8. Technology Stack</w:t>
      </w:r>
    </w:p>
    <w:p>
      <w:pPr>
        <w:spacing w:after="80" w:before="60"/>
        <w:jc w:val="both"/>
      </w:pPr>
      <w:r>
        <w:rPr>
          <w:rFonts w:ascii="Arial" w:cs="Arial" w:eastAsia="Arial" w:hAnsi="Arial"/>
          <w:b w:val="false"/>
          <w:bCs w:val="false"/>
          <w:i w:val="false"/>
          <w:iCs w:val="false"/>
          <w:color w:val="1A2B4A"/>
          <w:sz w:val="22"/>
          <w:szCs w:val="22"/>
        </w:rPr>
        <w:t xml:space="preserve">WebMap is implemented entirely in Python, deployed on AWS. The stack is version-controlled on Meridian's private GitHub organisation and documented in the internal technical wiki.</w:t>
      </w:r>
    </w:p>
    <w:p>
      <w:pPr>
        <w:spacing w:after="0" w:before="60"/>
      </w:pPr>
    </w:p>
    <w:p>
      <w:pPr>
        <w:pStyle w:val="ListParagraph"/>
        <w:numPr>
          <w:ilvl w:val="0"/>
          <w:numId w:val="2"/>
        </w:numPr>
        <w:spacing w:after="40" w:before="40"/>
      </w:pPr>
      <w:r>
        <w:rPr>
          <w:rFonts w:ascii="Arial" w:cs="Arial" w:eastAsia="Arial" w:hAnsi="Arial"/>
          <w:color w:val="1A2B4A"/>
          <w:sz w:val="22"/>
          <w:szCs w:val="22"/>
        </w:rPr>
        <w:t xml:space="preserve">Data collection: Scrapy (crawling), Playwright (JavaScript-rendered pages), boto3 (S3 storage)</w:t>
      </w:r>
    </w:p>
    <w:p>
      <w:pPr>
        <w:pStyle w:val="ListParagraph"/>
        <w:numPr>
          <w:ilvl w:val="0"/>
          <w:numId w:val="2"/>
        </w:numPr>
        <w:spacing w:after="40" w:before="40"/>
      </w:pPr>
      <w:r>
        <w:rPr>
          <w:rFonts w:ascii="Arial" w:cs="Arial" w:eastAsia="Arial" w:hAnsi="Arial"/>
          <w:color w:val="1A2B4A"/>
          <w:sz w:val="22"/>
          <w:szCs w:val="22"/>
        </w:rPr>
        <w:t xml:space="preserve">NLP and classification: spaCy, scikit-learn, sentence-transformers (SBERT embeddings), custom fine-tuned BERT classifiers</w:t>
      </w:r>
    </w:p>
    <w:p>
      <w:pPr>
        <w:pStyle w:val="ListParagraph"/>
        <w:numPr>
          <w:ilvl w:val="0"/>
          <w:numId w:val="2"/>
        </w:numPr>
        <w:spacing w:after="40" w:before="40"/>
      </w:pPr>
      <w:r>
        <w:rPr>
          <w:rFonts w:ascii="Arial" w:cs="Arial" w:eastAsia="Arial" w:hAnsi="Arial"/>
          <w:color w:val="1A2B4A"/>
          <w:sz w:val="22"/>
          <w:szCs w:val="22"/>
        </w:rPr>
        <w:t xml:space="preserve">Entity resolution: dedupe library + custom Jaro-Winkler matching</w:t>
      </w:r>
    </w:p>
    <w:p>
      <w:pPr>
        <w:pStyle w:val="ListParagraph"/>
        <w:numPr>
          <w:ilvl w:val="0"/>
          <w:numId w:val="2"/>
        </w:numPr>
        <w:spacing w:after="40" w:before="40"/>
      </w:pPr>
      <w:r>
        <w:rPr>
          <w:rFonts w:ascii="Arial" w:cs="Arial" w:eastAsia="Arial" w:hAnsi="Arial"/>
          <w:color w:val="1A2B4A"/>
          <w:sz w:val="22"/>
          <w:szCs w:val="22"/>
        </w:rPr>
        <w:t xml:space="preserve">Pipeline orchestration: Apache Airflow</w:t>
      </w:r>
    </w:p>
    <w:p>
      <w:pPr>
        <w:pStyle w:val="ListParagraph"/>
        <w:numPr>
          <w:ilvl w:val="0"/>
          <w:numId w:val="2"/>
        </w:numPr>
        <w:spacing w:after="40" w:before="40"/>
      </w:pPr>
      <w:r>
        <w:rPr>
          <w:rFonts w:ascii="Arial" w:cs="Arial" w:eastAsia="Arial" w:hAnsi="Arial"/>
          <w:color w:val="1A2B4A"/>
          <w:sz w:val="22"/>
          <w:szCs w:val="22"/>
        </w:rPr>
        <w:t xml:space="preserve">Storage and query: PostgreSQL (structured data), Elasticsearch (full-text search), S3 (raw web archive)</w:t>
      </w:r>
    </w:p>
    <w:p>
      <w:pPr>
        <w:pStyle w:val="ListParagraph"/>
        <w:numPr>
          <w:ilvl w:val="0"/>
          <w:numId w:val="2"/>
        </w:numPr>
        <w:spacing w:after="40" w:before="40"/>
      </w:pPr>
      <w:r>
        <w:rPr>
          <w:rFonts w:ascii="Arial" w:cs="Arial" w:eastAsia="Arial" w:hAnsi="Arial"/>
          <w:color w:val="1A2B4A"/>
          <w:sz w:val="22"/>
          <w:szCs w:val="22"/>
        </w:rPr>
        <w:t xml:space="preserve">Delivery formats: JSON, CSV, Parquet; REST API wrapper available on request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4"/>
      </w:pBdr>
    </w:pPr>
    <w:r>
      <w:rPr>
        <w:rFonts w:ascii="Arial" w:cs="Arial" w:eastAsia="Arial" w:hAnsi="Arial"/>
        <w:color w:val="666666"/>
        <w:sz w:val="16"/>
        <w:szCs w:val="16"/>
      </w:rPr>
      <w:t xml:space="preserve">Internal methodology document — not for external distribution without consent | © Meridian Intelligence GmbH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4"/>
      </w:pBdr>
      <w:tabs>
        <w:tab w:val="right" w:pos="9026"/>
      </w:tabs>
    </w:pPr>
    <w:r>
      <w:rPr>
        <w:rFonts w:ascii="Arial" w:cs="Arial" w:eastAsia="Arial" w:hAnsi="Arial"/>
        <w:color w:val="666666"/>
        <w:sz w:val="18"/>
        <w:szCs w:val="18"/>
      </w:rPr>
      <w:t xml:space="preserve">Meridian Intelligence GmbH — WebMap Methodology Overview</w:t>
    </w:r>
    <w:r>
      <w:rPr>
        <w:sz w:val="18"/>
        <w:szCs w:val="18"/>
      </w:rPr>
      <w:t xml:space="preserve">	</w:t>
    </w:r>
    <w:r>
      <w:rPr>
        <w:rFonts w:ascii="Arial" w:cs="Arial" w:eastAsia="Arial" w:hAnsi="Arial"/>
        <w:color w:val="666666"/>
        <w:sz w:val="18"/>
        <w:szCs w:val="18"/>
      </w:rPr>
      <w:t xml:space="preserve">Version 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4A7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A2B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2026-04-07T21:06:47.850Z</dcterms:created>
  <dcterms:modified xsi:type="dcterms:W3CDTF">2026-04-07T21:06:47.850Z</dcterms:modified>
</cp:coreProperties>
</file>

<file path=docProps/custom.xml><?xml version="1.0" encoding="utf-8"?>
<Properties xmlns="http://schemas.openxmlformats.org/officeDocument/2006/custom-properties" xmlns:vt="http://schemas.openxmlformats.org/officeDocument/2006/docPropsVTypes"/>
</file>