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STORYTELLING SCRIPT</w:t>
      </w:r>
    </w:p>
    <w:p>
      <w:pPr>
        <w:jc w:val="center"/>
      </w:pPr>
      <w:r>
        <w:rPr>
          <w:b/>
          <w:sz w:val="28"/>
        </w:rPr>
        <w:t>Reporting &amp; Data Storytelling</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Nama</w:t>
            </w:r>
          </w:p>
        </w:tc>
        <w:tc>
          <w:tcPr>
            <w:tcW w:type="dxa" w:w="4968"/>
            <w:vAlign w:val="center"/>
          </w:tcPr>
          <w:p>
            <w:r/>
            <w:r>
              <w:rPr>
                <w:b w:val="0"/>
                <w:sz w:val="20"/>
              </w:rPr>
              <w:t>Maulana Aldi Pradana</w:t>
            </w:r>
          </w:p>
        </w:tc>
      </w:tr>
      <w:tr>
        <w:tc>
          <w:tcPr>
            <w:tcW w:type="dxa" w:w="4968"/>
            <w:vAlign w:val="center"/>
            <w:shd w:fill="D9EAF7"/>
          </w:tcPr>
          <w:p>
            <w:r/>
            <w:r>
              <w:rPr>
                <w:b/>
                <w:sz w:val="20"/>
              </w:rPr>
              <w:t>Kelas</w:t>
            </w:r>
          </w:p>
        </w:tc>
        <w:tc>
          <w:tcPr>
            <w:tcW w:type="dxa" w:w="4968"/>
            <w:vAlign w:val="center"/>
          </w:tcPr>
          <w:p>
            <w:r/>
            <w:r>
              <w:rPr>
                <w:b w:val="0"/>
                <w:sz w:val="20"/>
              </w:rPr>
              <w:t>XII TJKT C</w:t>
            </w:r>
          </w:p>
        </w:tc>
      </w:tr>
      <w:tr>
        <w:tc>
          <w:tcPr>
            <w:tcW w:type="dxa" w:w="4968"/>
            <w:vAlign w:val="center"/>
            <w:shd w:fill="D9EAF7"/>
          </w:tcPr>
          <w:p>
            <w:r/>
            <w:r>
              <w:rPr>
                <w:b/>
                <w:sz w:val="20"/>
              </w:rPr>
              <w:t>Absen</w:t>
            </w:r>
          </w:p>
        </w:tc>
        <w:tc>
          <w:tcPr>
            <w:tcW w:type="dxa" w:w="4968"/>
            <w:vAlign w:val="center"/>
          </w:tcPr>
          <w:p>
            <w:r/>
            <w:r>
              <w:rPr>
                <w:b w:val="0"/>
                <w:sz w:val="20"/>
              </w:rPr>
              <w:t>19</w:t>
            </w:r>
          </w:p>
        </w:tc>
      </w:tr>
      <w:tr>
        <w:tc>
          <w:tcPr>
            <w:tcW w:type="dxa" w:w="4968"/>
            <w:vAlign w:val="center"/>
            <w:shd w:fill="D9EAF7"/>
          </w:tcPr>
          <w:p>
            <w:r/>
            <w:r>
              <w:rPr>
                <w:b/>
                <w:sz w:val="20"/>
              </w:rPr>
              <w:t>Periode Data</w:t>
            </w:r>
          </w:p>
        </w:tc>
        <w:tc>
          <w:tcPr>
            <w:tcW w:type="dxa" w:w="4968"/>
            <w:vAlign w:val="center"/>
          </w:tcPr>
          <w:p>
            <w:r/>
            <w:r>
              <w:rPr>
                <w:b w:val="0"/>
                <w:sz w:val="20"/>
              </w:rPr>
              <w:t>Januari – Desember 2023</w:t>
            </w:r>
          </w:p>
        </w:tc>
      </w:tr>
    </w:tbl>
    <w:p/>
    <w:p>
      <w:pPr>
        <w:jc w:val="center"/>
      </w:pPr>
      <w:r>
        <w:rPr>
          <w:i/>
          <w:sz w:val="20"/>
        </w:rPr>
        <w:t>Framework: Context → Problem → Evidence → Insight → Recommendation</w:t>
      </w:r>
    </w:p>
    <w:p>
      <w:r>
        <w:br w:type="page"/>
      </w:r>
    </w:p>
    <w:p>
      <w:pPr>
        <w:pStyle w:val="Heading1"/>
      </w:pPr>
      <w:r>
        <w:t>1. Context – Latar Belakang</w:t>
      </w:r>
    </w:p>
    <w:p>
      <w:pPr>
        <w:spacing w:after="120" w:line="276" w:lineRule="auto"/>
      </w:pPr>
      <w:r>
        <w:t>Pada analisis ini saya menggunakan dataset transaksi penjualan periode Januari sampai Desember 2023. Dataset terdiri dari 10.000 transaksi dengan informasi mengenai item, quantity, harga per unit, total pengeluaran, metode pembayaran, lokasi transaksi, dan tanggal transaksi.</w:t>
      </w:r>
    </w:p>
    <w:p>
      <w:pPr>
        <w:spacing w:after="120" w:line="276" w:lineRule="auto"/>
      </w:pPr>
      <w:r>
        <w:t>Secara keseluruhan, total sales dalam dataset adalah 88.779,50, dengan 10.000 orders dan total quantity sebanyak 30.271. Average Order Value atau AOV secara keseluruhan adalah sekitar 8,88.</w:t>
      </w:r>
    </w:p>
    <w:p>
      <w:pPr>
        <w:spacing w:after="120" w:line="276" w:lineRule="auto"/>
      </w:pPr>
      <w:r>
        <w:t>Tujuan analisis adalah memahami pola penjualan, menemukan periode yang perlu mendapat perhatian, melihat kontribusi produk, lokasi, dan metode pembayaran, serta menyusun rekomendasi yang dapat digunakan sebagai dasar pengambilan keputusan.</w:t>
      </w:r>
    </w:p>
    <w:p>
      <w:pPr>
        <w:pStyle w:val="Heading1"/>
      </w:pPr>
      <w:r>
        <w:t>2. Situation – Kondisi Penjualan</w:t>
      </w:r>
    </w:p>
    <w:p>
      <w:pPr>
        <w:spacing w:after="120" w:line="276" w:lineRule="auto"/>
      </w:pPr>
      <w:r>
        <w:t>Jika melihat tren bulanan, penjualan tidak menunjukkan pola penurunan secara terus-menerus. Penjualan mengalami fluktuasi dari bulan ke bulan.</w:t>
      </w:r>
    </w:p>
    <w:p>
      <w:pPr>
        <w:spacing w:after="120" w:line="276" w:lineRule="auto"/>
      </w:pPr>
      <w:r>
        <w:t>Februari menjadi periode dengan sales terendah, yaitu 6.584,00. Dibandingkan Januari, sales Februari turun sebesar -8,82%.</w:t>
      </w:r>
    </w:p>
    <w:p>
      <w:pPr>
        <w:spacing w:after="120" w:line="276" w:lineRule="auto"/>
      </w:pPr>
      <w:r>
        <w:t>Temuan ini penting karena menunjukkan bahwa masalah yang perlu dianalisis bukan sekadar penurunan penjualan jangka panjang, tetapi perubahan performa pada periode tertentu.</w:t>
      </w:r>
    </w:p>
    <w:p>
      <w:pPr>
        <w:pStyle w:val="Heading1"/>
      </w:pPr>
      <w:r>
        <w:t>3. Complication – Perubahan pada Februari</w:t>
      </w:r>
    </w:p>
    <w:p>
      <w:pPr>
        <w:spacing w:after="120" w:line="276" w:lineRule="auto"/>
      </w:pPr>
      <w:r>
        <w:t>Untuk mengetahui apa yang terjadi pada Februari, saya membandingkan beberapa indikator utama antara Januari dan Februari.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0"/>
              </w:rPr>
              <w:t>Metric</w:t>
            </w:r>
          </w:p>
        </w:tc>
        <w:tc>
          <w:tcPr>
            <w:tcW w:type="dxa" w:w="2484"/>
            <w:vAlign w:val="center"/>
            <w:shd w:fill="D9EAF7"/>
          </w:tcPr>
          <w:p>
            <w:r/>
            <w:r>
              <w:rPr>
                <w:b/>
                <w:sz w:val="20"/>
              </w:rPr>
              <w:t>Januari</w:t>
            </w:r>
          </w:p>
        </w:tc>
        <w:tc>
          <w:tcPr>
            <w:tcW w:type="dxa" w:w="2484"/>
            <w:vAlign w:val="center"/>
            <w:shd w:fill="D9EAF7"/>
          </w:tcPr>
          <w:p>
            <w:r/>
            <w:r>
              <w:rPr>
                <w:b/>
                <w:sz w:val="20"/>
              </w:rPr>
              <w:t>Februari</w:t>
            </w:r>
          </w:p>
        </w:tc>
        <w:tc>
          <w:tcPr>
            <w:tcW w:type="dxa" w:w="2484"/>
            <w:vAlign w:val="center"/>
            <w:shd w:fill="D9EAF7"/>
          </w:tcPr>
          <w:p>
            <w:r/>
            <w:r>
              <w:rPr>
                <w:b/>
                <w:sz w:val="20"/>
              </w:rPr>
              <w:t>Perubahan</w:t>
            </w:r>
          </w:p>
        </w:tc>
      </w:tr>
      <w:tr>
        <w:tc>
          <w:tcPr>
            <w:tcW w:type="dxa" w:w="2484"/>
            <w:vAlign w:val="center"/>
          </w:tcPr>
          <w:p>
            <w:r/>
            <w:r>
              <w:rPr>
                <w:b w:val="0"/>
                <w:sz w:val="20"/>
              </w:rPr>
              <w:t>Sales</w:t>
            </w:r>
          </w:p>
        </w:tc>
        <w:tc>
          <w:tcPr>
            <w:tcW w:type="dxa" w:w="2484"/>
            <w:vAlign w:val="center"/>
          </w:tcPr>
          <w:p>
            <w:r/>
            <w:r>
              <w:rPr>
                <w:b w:val="0"/>
                <w:sz w:val="20"/>
              </w:rPr>
              <w:t>7.221,00</w:t>
            </w:r>
          </w:p>
        </w:tc>
        <w:tc>
          <w:tcPr>
            <w:tcW w:type="dxa" w:w="2484"/>
            <w:vAlign w:val="center"/>
          </w:tcPr>
          <w:p>
            <w:r/>
            <w:r>
              <w:rPr>
                <w:b w:val="0"/>
                <w:sz w:val="20"/>
              </w:rPr>
              <w:t>6.584,00</w:t>
            </w:r>
          </w:p>
        </w:tc>
        <w:tc>
          <w:tcPr>
            <w:tcW w:type="dxa" w:w="2484"/>
            <w:vAlign w:val="center"/>
          </w:tcPr>
          <w:p>
            <w:r/>
            <w:r>
              <w:rPr>
                <w:b w:val="0"/>
                <w:sz w:val="20"/>
              </w:rPr>
              <w:t>-8,82%</w:t>
            </w:r>
          </w:p>
        </w:tc>
      </w:tr>
      <w:tr>
        <w:tc>
          <w:tcPr>
            <w:tcW w:type="dxa" w:w="2484"/>
            <w:vAlign w:val="center"/>
          </w:tcPr>
          <w:p>
            <w:r/>
            <w:r>
              <w:rPr>
                <w:b w:val="0"/>
                <w:sz w:val="20"/>
              </w:rPr>
              <w:t>Orders</w:t>
            </w:r>
          </w:p>
        </w:tc>
        <w:tc>
          <w:tcPr>
            <w:tcW w:type="dxa" w:w="2484"/>
            <w:vAlign w:val="center"/>
          </w:tcPr>
          <w:p>
            <w:r/>
            <w:r>
              <w:rPr>
                <w:b w:val="0"/>
                <w:sz w:val="20"/>
              </w:rPr>
              <w:t>1.020</w:t>
            </w:r>
          </w:p>
        </w:tc>
        <w:tc>
          <w:tcPr>
            <w:tcW w:type="dxa" w:w="2484"/>
            <w:vAlign w:val="center"/>
          </w:tcPr>
          <w:p>
            <w:r/>
            <w:r>
              <w:rPr>
                <w:b w:val="0"/>
                <w:sz w:val="20"/>
              </w:rPr>
              <w:t>906</w:t>
            </w:r>
          </w:p>
        </w:tc>
        <w:tc>
          <w:tcPr>
            <w:tcW w:type="dxa" w:w="2484"/>
            <w:vAlign w:val="center"/>
          </w:tcPr>
          <w:p>
            <w:r/>
            <w:r>
              <w:rPr>
                <w:b w:val="0"/>
                <w:sz w:val="20"/>
              </w:rPr>
              <w:t>-11,12%</w:t>
            </w:r>
          </w:p>
        </w:tc>
      </w:tr>
      <w:tr>
        <w:tc>
          <w:tcPr>
            <w:tcW w:type="dxa" w:w="2484"/>
            <w:vAlign w:val="center"/>
          </w:tcPr>
          <w:p>
            <w:r/>
            <w:r>
              <w:rPr>
                <w:b w:val="0"/>
                <w:sz w:val="20"/>
              </w:rPr>
              <w:t>Quantity</w:t>
            </w:r>
          </w:p>
        </w:tc>
        <w:tc>
          <w:tcPr>
            <w:tcW w:type="dxa" w:w="2484"/>
            <w:vAlign w:val="center"/>
          </w:tcPr>
          <w:p>
            <w:r/>
            <w:r>
              <w:rPr>
                <w:b w:val="0"/>
                <w:sz w:val="20"/>
              </w:rPr>
              <w:t>1.097</w:t>
            </w:r>
          </w:p>
        </w:tc>
        <w:tc>
          <w:tcPr>
            <w:tcW w:type="dxa" w:w="2484"/>
            <w:vAlign w:val="center"/>
          </w:tcPr>
          <w:p>
            <w:r/>
            <w:r>
              <w:rPr>
                <w:b w:val="0"/>
                <w:sz w:val="20"/>
              </w:rPr>
              <w:t>1.001</w:t>
            </w:r>
          </w:p>
        </w:tc>
        <w:tc>
          <w:tcPr>
            <w:tcW w:type="dxa" w:w="2484"/>
            <w:vAlign w:val="center"/>
          </w:tcPr>
          <w:p>
            <w:r/>
            <w:r>
              <w:rPr>
                <w:b w:val="0"/>
                <w:sz w:val="20"/>
              </w:rPr>
              <w:t>-8,73%</w:t>
            </w:r>
          </w:p>
        </w:tc>
      </w:tr>
      <w:tr>
        <w:tc>
          <w:tcPr>
            <w:tcW w:type="dxa" w:w="2484"/>
            <w:vAlign w:val="center"/>
          </w:tcPr>
          <w:p>
            <w:r/>
            <w:r>
              <w:rPr>
                <w:b w:val="0"/>
                <w:sz w:val="20"/>
              </w:rPr>
              <w:t>AOV</w:t>
            </w:r>
          </w:p>
        </w:tc>
        <w:tc>
          <w:tcPr>
            <w:tcW w:type="dxa" w:w="2484"/>
            <w:vAlign w:val="center"/>
          </w:tcPr>
          <w:p>
            <w:r/>
            <w:r>
              <w:rPr>
                <w:b w:val="0"/>
                <w:sz w:val="20"/>
              </w:rPr>
              <w:t>8,83</w:t>
            </w:r>
          </w:p>
        </w:tc>
        <w:tc>
          <w:tcPr>
            <w:tcW w:type="dxa" w:w="2484"/>
            <w:vAlign w:val="center"/>
          </w:tcPr>
          <w:p>
            <w:r/>
            <w:r>
              <w:rPr>
                <w:b w:val="0"/>
                <w:sz w:val="20"/>
              </w:rPr>
              <w:t>9,06</w:t>
            </w:r>
          </w:p>
        </w:tc>
        <w:tc>
          <w:tcPr>
            <w:tcW w:type="dxa" w:w="2484"/>
            <w:vAlign w:val="center"/>
          </w:tcPr>
          <w:p>
            <w:r/>
            <w:r>
              <w:rPr>
                <w:b w:val="0"/>
                <w:sz w:val="20"/>
              </w:rPr>
              <w:t>+2,59%</w:t>
            </w:r>
          </w:p>
        </w:tc>
      </w:tr>
    </w:tbl>
    <w:p>
      <w:pPr>
        <w:spacing w:after="120" w:line="276" w:lineRule="auto"/>
      </w:pPr>
      <w:r>
        <w:t>Dari perbandingan tersebut terlihat bahwa sales, jumlah orders, dan quantity sama-sama mengalami penurunan. Namun, AOV justru meningkat dari sekitar 8,83 menjadi 9,06.</w:t>
      </w:r>
    </w:p>
    <w:p>
      <w:pPr>
        <w:pStyle w:val="Heading1"/>
      </w:pPr>
      <w:r>
        <w:t>4. Evidence – Bukti dari Data</w:t>
      </w:r>
    </w:p>
    <w:p>
      <w:pPr>
        <w:pStyle w:val="Heading2"/>
      </w:pPr>
      <w:r>
        <w:t>4.1 Sales dan Volume Transaksi</w:t>
      </w:r>
    </w:p>
    <w:p>
      <w:pPr>
        <w:spacing w:after="120" w:line="276" w:lineRule="auto"/>
      </w:pPr>
      <w:r>
        <w:t>Sales Februari turun -8,82%. Pada periode yang sama, jumlah orders turun -11,12% dan quantity turun -8,73%.</w:t>
      </w:r>
    </w:p>
    <w:p>
      <w:pPr>
        <w:spacing w:after="120" w:line="276" w:lineRule="auto"/>
      </w:pPr>
      <w:r>
        <w:t>Karena AOV justru meningkat dari 8,83 menjadi 9,06, penurunan sales Februari lebih relevan dikaitkan dengan perubahan volume transaksi daripada penurunan nilai rata-rata setiap order.</w:t>
      </w:r>
    </w:p>
    <w:p>
      <w:pPr>
        <w:pStyle w:val="Heading2"/>
      </w:pPr>
      <w:r>
        <w:t>4.2 Kontribusi Produk</w:t>
      </w:r>
    </w:p>
    <w:p>
      <w:pPr>
        <w:spacing w:after="120" w:line="276" w:lineRule="auto"/>
      </w:pPr>
      <w:r>
        <w:t>Pada Februari, SALAD menjadi produk dengan kontribusi sales terbesar, yaitu 17,80%. Secara keseluruhan periode Januari sampai Desember, SALAD juga menjadi produk dengan kontribusi terbesar, yaitu 19,17%.</w:t>
      </w:r>
    </w:p>
    <w:p>
      <w:pPr>
        <w:spacing w:after="120" w:line="276" w:lineRule="auto"/>
      </w:pPr>
      <w:r>
        <w:t>Hal ini menunjukkan bahwa SALAD merupakan salah satu produk penting yang perlu diperhatikan dalam strategi penjualan. Namun, kontribusi yang tinggi tidak otomatis membuktikan bahwa produk tersebut menjadi penyebab perubahan sales.</w:t>
      </w:r>
    </w:p>
    <w:p>
      <w:pPr>
        <w:pStyle w:val="Heading2"/>
      </w:pPr>
      <w:r>
        <w:t>4.3 Kontribusi Lokasi</w:t>
      </w:r>
    </w:p>
    <w:p>
      <w:pPr>
        <w:spacing w:after="120" w:line="276" w:lineRule="auto"/>
      </w:pPr>
      <w:r>
        <w:t>TAKEAWAY memberikan kontribusi sales sebesar 62,71% pada Februari.</w:t>
      </w:r>
    </w:p>
    <w:p>
      <w:pPr>
        <w:spacing w:after="120" w:line="276" w:lineRule="auto"/>
      </w:pPr>
      <w:r>
        <w:t>Temuan ini menunjukkan adanya konsentrasi penjualan pada segmen lokasi TAKEAWAY. Data tersebut dapat digunakan sebagai dasar monitoring, tetapi belum cukup untuk menyimpulkan penyebab bisnis dari konsentrasi tersebut.</w:t>
      </w:r>
    </w:p>
    <w:p>
      <w:pPr>
        <w:pStyle w:val="Heading2"/>
      </w:pPr>
      <w:r>
        <w:t>4.4 Kontribusi Metode Pembayaran</w:t>
      </w:r>
    </w:p>
    <w:p>
      <w:pPr>
        <w:spacing w:after="120" w:line="276" w:lineRule="auto"/>
      </w:pPr>
      <w:r>
        <w:t>Digital Wallet menjadi metode pembayaran dengan kontribusi sales terbesar pada Februari, yaitu 49,15%.</w:t>
      </w:r>
    </w:p>
    <w:p>
      <w:pPr>
        <w:spacing w:after="120" w:line="276" w:lineRule="auto"/>
      </w:pPr>
      <w:r>
        <w:t>Informasi ini dapat membantu memahami karakteristik transaksi, tetapi belum dapat digunakan untuk menyimpulkan bahwa metode pembayaran tertentu menyebabkan kenaikan atau penurunan sales.</w:t>
      </w:r>
    </w:p>
    <w:p>
      <w:pPr>
        <w:pStyle w:val="Heading1"/>
      </w:pPr>
      <w:r>
        <w:t>5. Data Quality – Faktor yang Perlu Diperhatikan</w:t>
      </w:r>
    </w:p>
    <w:p>
      <w:pPr>
        <w:spacing w:after="120" w:line="276" w:lineRule="auto"/>
      </w:pPr>
      <w:r>
        <w:t>Selain menganalisis performa bisnis, saya juga menemukan beberapa isu kualitas data yang perlu diperhatikan sebelum hasil analisis digunakan untuk keputusan yang lebih lanjut.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Isu Data</w:t>
            </w:r>
          </w:p>
        </w:tc>
        <w:tc>
          <w:tcPr>
            <w:tcW w:type="dxa" w:w="3312"/>
            <w:vAlign w:val="center"/>
            <w:shd w:fill="D9EAF7"/>
          </w:tcPr>
          <w:p>
            <w:r/>
            <w:r>
              <w:rPr>
                <w:b/>
                <w:sz w:val="20"/>
              </w:rPr>
              <w:t>Jumlah</w:t>
            </w:r>
          </w:p>
        </w:tc>
        <w:tc>
          <w:tcPr>
            <w:tcW w:type="dxa" w:w="3312"/>
            <w:vAlign w:val="center"/>
            <w:shd w:fill="D9EAF7"/>
          </w:tcPr>
          <w:p>
            <w:r/>
            <w:r>
              <w:rPr>
                <w:b/>
                <w:sz w:val="20"/>
              </w:rPr>
              <w:t>Keterangan</w:t>
            </w:r>
          </w:p>
        </w:tc>
      </w:tr>
      <w:tr>
        <w:tc>
          <w:tcPr>
            <w:tcW w:type="dxa" w:w="3312"/>
            <w:vAlign w:val="center"/>
          </w:tcPr>
          <w:p>
            <w:r/>
            <w:r>
              <w:rPr>
                <w:b w:val="0"/>
                <w:sz w:val="20"/>
              </w:rPr>
              <w:t>Tanggal kosong</w:t>
            </w:r>
          </w:p>
        </w:tc>
        <w:tc>
          <w:tcPr>
            <w:tcW w:type="dxa" w:w="3312"/>
            <w:vAlign w:val="center"/>
          </w:tcPr>
          <w:p>
            <w:r/>
            <w:r>
              <w:rPr>
                <w:b w:val="0"/>
                <w:sz w:val="20"/>
              </w:rPr>
              <w:t>460</w:t>
            </w:r>
          </w:p>
        </w:tc>
        <w:tc>
          <w:tcPr>
            <w:tcW w:type="dxa" w:w="3312"/>
            <w:vAlign w:val="center"/>
          </w:tcPr>
          <w:p>
            <w:r/>
            <w:r>
              <w:rPr>
                <w:b w:val="0"/>
                <w:sz w:val="20"/>
              </w:rPr>
              <w:t>4,6% dari dataset</w:t>
            </w:r>
          </w:p>
        </w:tc>
      </w:tr>
      <w:tr>
        <w:tc>
          <w:tcPr>
            <w:tcW w:type="dxa" w:w="3312"/>
            <w:vAlign w:val="center"/>
          </w:tcPr>
          <w:p>
            <w:r/>
            <w:r>
              <w:rPr>
                <w:b w:val="0"/>
                <w:sz w:val="20"/>
              </w:rPr>
              <w:t>Item UNKNOWN/ERROR</w:t>
            </w:r>
          </w:p>
        </w:tc>
        <w:tc>
          <w:tcPr>
            <w:tcW w:type="dxa" w:w="3312"/>
            <w:vAlign w:val="center"/>
          </w:tcPr>
          <w:p>
            <w:r/>
            <w:r>
              <w:rPr>
                <w:b w:val="0"/>
                <w:sz w:val="20"/>
              </w:rPr>
              <w:t>636</w:t>
            </w:r>
          </w:p>
        </w:tc>
        <w:tc>
          <w:tcPr>
            <w:tcW w:type="dxa" w:w="3312"/>
            <w:vAlign w:val="center"/>
          </w:tcPr>
          <w:p>
            <w:r/>
            <w:r>
              <w:rPr>
                <w:b w:val="0"/>
                <w:sz w:val="20"/>
              </w:rPr>
              <w:t>6,36%</w:t>
            </w:r>
          </w:p>
        </w:tc>
      </w:tr>
      <w:tr>
        <w:tc>
          <w:tcPr>
            <w:tcW w:type="dxa" w:w="3312"/>
            <w:vAlign w:val="center"/>
          </w:tcPr>
          <w:p>
            <w:r/>
            <w:r>
              <w:rPr>
                <w:b w:val="0"/>
                <w:sz w:val="20"/>
              </w:rPr>
              <w:t>Location UNKNOWN/ERROR</w:t>
            </w:r>
          </w:p>
        </w:tc>
        <w:tc>
          <w:tcPr>
            <w:tcW w:type="dxa" w:w="3312"/>
            <w:vAlign w:val="center"/>
          </w:tcPr>
          <w:p>
            <w:r/>
            <w:r>
              <w:rPr>
                <w:b w:val="0"/>
                <w:sz w:val="20"/>
              </w:rPr>
              <w:t>696</w:t>
            </w:r>
          </w:p>
        </w:tc>
        <w:tc>
          <w:tcPr>
            <w:tcW w:type="dxa" w:w="3312"/>
            <w:vAlign w:val="center"/>
          </w:tcPr>
          <w:p>
            <w:r/>
            <w:r>
              <w:rPr>
                <w:b w:val="0"/>
                <w:sz w:val="20"/>
              </w:rPr>
              <w:t>6,96%</w:t>
            </w:r>
          </w:p>
        </w:tc>
      </w:tr>
      <w:tr>
        <w:tc>
          <w:tcPr>
            <w:tcW w:type="dxa" w:w="3312"/>
            <w:vAlign w:val="center"/>
          </w:tcPr>
          <w:p>
            <w:r/>
            <w:r>
              <w:rPr>
                <w:b w:val="0"/>
                <w:sz w:val="20"/>
              </w:rPr>
              <w:t>Payment UNKNOWN/ERROR</w:t>
            </w:r>
          </w:p>
        </w:tc>
        <w:tc>
          <w:tcPr>
            <w:tcW w:type="dxa" w:w="3312"/>
            <w:vAlign w:val="center"/>
          </w:tcPr>
          <w:p>
            <w:r/>
            <w:r>
              <w:rPr>
                <w:b w:val="0"/>
                <w:sz w:val="20"/>
              </w:rPr>
              <w:t>599</w:t>
            </w:r>
          </w:p>
        </w:tc>
        <w:tc>
          <w:tcPr>
            <w:tcW w:type="dxa" w:w="3312"/>
            <w:vAlign w:val="center"/>
          </w:tcPr>
          <w:p>
            <w:r/>
            <w:r>
              <w:rPr>
                <w:b w:val="0"/>
                <w:sz w:val="20"/>
              </w:rPr>
              <w:t>5,99%</w:t>
            </w:r>
          </w:p>
        </w:tc>
      </w:tr>
      <w:tr>
        <w:tc>
          <w:tcPr>
            <w:tcW w:type="dxa" w:w="3312"/>
            <w:vAlign w:val="center"/>
          </w:tcPr>
          <w:p>
            <w:r/>
            <w:r>
              <w:rPr>
                <w:b w:val="0"/>
                <w:sz w:val="20"/>
              </w:rPr>
              <w:t>Sales tidak sesuai rumus</w:t>
            </w:r>
          </w:p>
        </w:tc>
        <w:tc>
          <w:tcPr>
            <w:tcW w:type="dxa" w:w="3312"/>
            <w:vAlign w:val="center"/>
          </w:tcPr>
          <w:p>
            <w:r/>
            <w:r>
              <w:rPr>
                <w:b w:val="0"/>
                <w:sz w:val="20"/>
              </w:rPr>
              <w:t>1.194</w:t>
            </w:r>
          </w:p>
        </w:tc>
        <w:tc>
          <w:tcPr>
            <w:tcW w:type="dxa" w:w="3312"/>
            <w:vAlign w:val="center"/>
          </w:tcPr>
          <w:p>
            <w:r/>
            <w:r>
              <w:rPr>
                <w:b w:val="0"/>
                <w:sz w:val="20"/>
              </w:rPr>
              <w:t>11,94%</w:t>
            </w:r>
          </w:p>
        </w:tc>
      </w:tr>
    </w:tbl>
    <w:p>
      <w:pPr>
        <w:spacing w:after="120" w:line="276" w:lineRule="auto"/>
      </w:pPr>
      <w:r>
        <w:t>Data quality issue ini tidak saya gunakan sebagai penyebab langsung penurunan sales. Fungsinya adalah sebagai supporting finding karena kualitas data yang kurang baik dapat memengaruhi akurasi monitoring dan analisis berikutnya.</w:t>
      </w:r>
    </w:p>
    <w:p>
      <w:pPr>
        <w:pStyle w:val="Heading1"/>
      </w:pPr>
      <w:r>
        <w:t>6. Insight – Makna Bisnis dari Data</w:t>
      </w:r>
    </w:p>
    <w:p>
      <w:pPr>
        <w:spacing w:after="120" w:line="276" w:lineRule="auto"/>
      </w:pPr>
      <w:r>
        <w:t>Berdasarkan seluruh evidence, insight utama dari analisis ini adalah bahwa performa penjualan pada Februari lebih banyak menunjukkan masalah pada volume transaksi dibandingkan nilai rata-rata transaksi.</w:t>
      </w:r>
    </w:p>
    <w:p>
      <w:pPr>
        <w:spacing w:after="120" w:line="276" w:lineRule="auto"/>
      </w:pPr>
      <w:r>
        <w:t>Sales turun -8,82%, sementara orders turun -11,12% dan quantity turun -8,73%. Di sisi lain, AOV meningkat 8,83 menjadi 9,06.</w:t>
      </w:r>
    </w:p>
    <w:p>
      <w:pPr>
        <w:spacing w:after="120" w:line="276" w:lineRule="auto"/>
      </w:pPr>
      <w:r>
        <w:t>Dengan demikian, perhatian utama sebaiknya diarahkan pada bagaimana menjaga jumlah transaksi dan quantity pada periode yang lemah, sambil tetap mempertahankan kontribusi produk utama.</w:t>
      </w:r>
    </w:p>
    <w:p>
      <w:pPr>
        <w:pStyle w:val="Heading1"/>
      </w:pPr>
      <w:r>
        <w:t>7. Recommendation – Rekomendasi</w:t>
      </w:r>
    </w:p>
    <w:p>
      <w:pPr>
        <w:pStyle w:val="Heading2"/>
      </w:pPr>
      <w:r>
        <w:t>Rekomendasi 1 – Optimalkan Produk dengan Kontribusi Tinggi</w:t>
      </w:r>
    </w:p>
    <w:p>
      <w:pPr>
        <w:spacing w:after="120" w:line="276" w:lineRule="auto"/>
      </w:pPr>
      <w:r>
        <w:t>Rekomendasi pertama adalah mengoptimalkan produk dengan kontribusi penjualan tinggi, terutama SALAD.</w:t>
      </w:r>
    </w:p>
    <w:p>
      <w:pPr>
        <w:spacing w:after="120" w:line="276" w:lineRule="auto"/>
      </w:pPr>
      <w:r>
        <w:t>Dasarnya adalah kontribusi SALAD sebesar 17,80% pada Februari dan 19,17% secara keseluruhan. Strategi dapat diarahkan pada pemantauan performa produk, ketersediaan produk, dan evaluasi penjualan produk tersebut.</w:t>
      </w:r>
    </w:p>
    <w:p>
      <w:pPr>
        <w:spacing w:after="120" w:line="276" w:lineRule="auto"/>
      </w:pPr>
      <w:r>
        <w:t>Ide seperti bundling atau cross-selling dapat diuji sebagai hipotesis, tetapi efektivitasnya perlu dibuktikan melalui data setelah implementasi.</w:t>
      </w:r>
    </w:p>
    <w:p>
      <w:pPr>
        <w:pStyle w:val="Heading2"/>
      </w:pPr>
      <w:r>
        <w:t>Rekomendasi 2 – Stabilkan Volume Transaksi</w:t>
      </w:r>
    </w:p>
    <w:p>
      <w:pPr>
        <w:spacing w:after="120" w:line="276" w:lineRule="auto"/>
      </w:pPr>
      <w:r>
        <w:t>Rekomendasi kedua adalah menjaga kestabilan jumlah transaksi pada periode yang mengalami penurunan.</w:t>
      </w:r>
    </w:p>
    <w:p>
      <w:pPr>
        <w:spacing w:after="120" w:line="276" w:lineRule="auto"/>
      </w:pPr>
      <w:r>
        <w:t>Monitoring dapat dilakukan menggunakan Sales, Orders, Quantity Sold, dan AOV secara bersamaan sehingga perubahan volume dapat dibedakan dari perubahan nilai transaksi.</w:t>
      </w:r>
    </w:p>
    <w:p>
      <w:pPr>
        <w:pStyle w:val="Heading2"/>
      </w:pPr>
      <w:r>
        <w:t>Rekomendasi 3 – Tingkatkan Kualitas Data</w:t>
      </w:r>
    </w:p>
    <w:p>
      <w:pPr>
        <w:spacing w:after="120" w:line="276" w:lineRule="auto"/>
      </w:pPr>
      <w:r>
        <w:t>Rekomendasi ketiga adalah memperbaiki validasi data transaksi.</w:t>
      </w:r>
    </w:p>
    <w:p>
      <w:pPr>
        <w:spacing w:after="120" w:line="276" w:lineRule="auto"/>
      </w:pPr>
      <w:r>
        <w:t>Prioritas dapat diberikan pada pemeriksaan ketidaksesuaian Total_Spent dengan Quantity × Price_Per_Unit yang ditemukan sebanyak 1.194 transaksi atau 11,94%, serta penanganan nilai UNKNOWN/ERROR dan tanggal transaksi yang kosong.</w:t>
      </w:r>
    </w:p>
    <w:p>
      <w:pPr>
        <w:pStyle w:val="Heading1"/>
      </w:pPr>
      <w:r>
        <w:t>8. Expected Impact – Dampak yang Diharapkan</w:t>
      </w:r>
    </w:p>
    <w:p>
      <w:pPr>
        <w:spacing w:after="120" w:line="276" w:lineRule="auto"/>
      </w:pPr>
      <w:r>
        <w:t>Keberhasilan rekomendasi perlu diukur menggunakan indikator yang sama sebelum dan sesudah implementasi.</w:t>
      </w:r>
    </w:p>
    <w:p>
      <w:pPr>
        <w:pStyle w:val="ListBullet"/>
        <w:spacing w:after="80"/>
      </w:pPr>
      <w:r>
        <w:t>Sales: melihat perubahan nilai penjualan.</w:t>
      </w:r>
    </w:p>
    <w:p>
      <w:pPr>
        <w:pStyle w:val="ListBullet"/>
        <w:spacing w:after="80"/>
      </w:pPr>
      <w:r>
        <w:t>Number of Orders: melihat kestabilan volume transaksi.</w:t>
      </w:r>
    </w:p>
    <w:p>
      <w:pPr>
        <w:pStyle w:val="ListBullet"/>
        <w:spacing w:after="80"/>
      </w:pPr>
      <w:r>
        <w:t>Quantity Sold: melihat perubahan jumlah produk yang terjual.</w:t>
      </w:r>
    </w:p>
    <w:p>
      <w:pPr>
        <w:pStyle w:val="ListBullet"/>
        <w:spacing w:after="80"/>
      </w:pPr>
      <w:r>
        <w:t>AOV: memastikan perubahan sales tidak hanya berasal dari perubahan nilai order.</w:t>
      </w:r>
    </w:p>
    <w:p>
      <w:pPr>
        <w:pStyle w:val="ListBullet"/>
        <w:spacing w:after="80"/>
      </w:pPr>
      <w:r>
        <w:t>Product Contribution: melihat apakah produk utama tetap memberikan kontribusi yang sehat.</w:t>
      </w:r>
    </w:p>
    <w:p>
      <w:pPr>
        <w:spacing w:after="120" w:line="276" w:lineRule="auto"/>
      </w:pPr>
      <w:r>
        <w:t>Perbandingan sebelum dan sesudah implementasi akan memberikan dasar yang lebih kuat untuk menilai apakah strategi yang diterapkan memberikan hasil.</w:t>
      </w:r>
    </w:p>
    <w:p>
      <w:pPr>
        <w:pStyle w:val="Heading1"/>
      </w:pPr>
      <w:r>
        <w:t>9. Closing – Penutup</w:t>
      </w:r>
    </w:p>
    <w:p>
      <w:pPr>
        <w:spacing w:after="120" w:line="276" w:lineRule="auto"/>
      </w:pPr>
      <w:r>
        <w:t>Sebagai kesimpulan, data menunjukkan bahwa penjualan selama 2023 mengalami fluktuasi, bukan penurunan secara terus-menerus.</w:t>
      </w:r>
    </w:p>
    <w:p>
      <w:pPr>
        <w:spacing w:after="120" w:line="276" w:lineRule="auto"/>
      </w:pPr>
      <w:r>
        <w:t>Februari merupakan periode dengan sales terendah, yaitu 6.584,00, dan mengalami penurunan -8,82% dibandingkan Januari.</w:t>
      </w:r>
    </w:p>
    <w:p>
      <w:pPr>
        <w:spacing w:after="120" w:line="276" w:lineRule="auto"/>
      </w:pPr>
      <w:r>
        <w:t>Penurunan tersebut terjadi bersamaan dengan penurunan orders sebesar -11,12% dan quantity sebesar -8,73%, sedangkan AOV justru meningkat menjadi 9,06.</w:t>
      </w:r>
    </w:p>
    <w:p>
      <w:pPr>
        <w:spacing w:after="120" w:line="276" w:lineRule="auto"/>
      </w:pPr>
      <w:r>
        <w:t>Oleh karena itu, fokus utama yang dapat ditindaklanjuti adalah mengoptimalkan produk dengan kontribusi tinggi, menstabilkan volume transaksi pada periode lemah, serta memperbaiki kualitas data sebagai supporting action.</w:t>
      </w:r>
    </w:p>
    <w:p>
      <w:pPr>
        <w:spacing w:after="120" w:line="276" w:lineRule="auto"/>
      </w:pPr>
      <w:r>
        <w:t>Dengan pendekatan tersebut, proses analisis tidak berhenti pada mengetahui apa yang terjadi, tetapi dilanjutkan dengan memahami indikator yang berkaitan, menentukan tindakan yang dapat diuji, dan mengukur hasilnya menggunakan data.</w:t>
      </w:r>
    </w:p>
    <w:p>
      <w:pPr>
        <w:pStyle w:val="Heading1"/>
      </w:pPr>
      <w:r>
        <w:t>10. Alur Penyampaian Saat Presentasi</w:t>
      </w:r>
    </w:p>
    <w:p>
      <w:pPr>
        <w:pStyle w:val="ListNumber"/>
        <w:spacing w:after="80"/>
      </w:pPr>
      <w:r>
        <w:t>Buka dengan konteks dataset dan tujuan analisis.</w:t>
      </w:r>
    </w:p>
    <w:p>
      <w:pPr>
        <w:pStyle w:val="ListNumber"/>
        <w:spacing w:after="80"/>
      </w:pPr>
      <w:r>
        <w:t>Jelaskan bahwa sales 2023 berfluktuasi dan Februari menjadi periode sales terendah.</w:t>
      </w:r>
    </w:p>
    <w:p>
      <w:pPr>
        <w:pStyle w:val="ListNumber"/>
        <w:spacing w:after="80"/>
      </w:pPr>
      <w:r>
        <w:t>Tunjukkan perbandingan Januari dan Februari.</w:t>
      </w:r>
    </w:p>
    <w:p>
      <w:pPr>
        <w:pStyle w:val="ListNumber"/>
        <w:spacing w:after="80"/>
      </w:pPr>
      <w:r>
        <w:t>Tekankan bahwa Orders dan Quantity turun, sementara AOV meningkat.</w:t>
      </w:r>
    </w:p>
    <w:p>
      <w:pPr>
        <w:pStyle w:val="ListNumber"/>
        <w:spacing w:after="80"/>
      </w:pPr>
      <w:r>
        <w:t>Jelaskan kontribusi produk, terutama SALAD.</w:t>
      </w:r>
    </w:p>
    <w:p>
      <w:pPr>
        <w:pStyle w:val="ListNumber"/>
        <w:spacing w:after="80"/>
      </w:pPr>
      <w:r>
        <w:t>Jelaskan kontribusi lokasi dan metode pembayaran sebagai supporting evidence.</w:t>
      </w:r>
    </w:p>
    <w:p>
      <w:pPr>
        <w:pStyle w:val="ListNumber"/>
        <w:spacing w:after="80"/>
      </w:pPr>
      <w:r>
        <w:t>Sampaikan data quality issue sebagai faktor reliability, bukan penyebab langsung.</w:t>
      </w:r>
    </w:p>
    <w:p>
      <w:pPr>
        <w:pStyle w:val="ListNumber"/>
        <w:spacing w:after="80"/>
      </w:pPr>
      <w:r>
        <w:t>Tarik insight utama: volume transaksi lebih relevan terhadap penurunan Februari.</w:t>
      </w:r>
    </w:p>
    <w:p>
      <w:pPr>
        <w:pStyle w:val="ListNumber"/>
        <w:spacing w:after="80"/>
      </w:pPr>
      <w:r>
        <w:t>Sampaikan tiga rekomendasi.</w:t>
      </w:r>
    </w:p>
    <w:p>
      <w:pPr>
        <w:pStyle w:val="ListNumber"/>
        <w:spacing w:after="80"/>
      </w:pPr>
      <w:r>
        <w:t>Jelaskan indikator untuk mengukur keberhasilan.</w:t>
      </w:r>
    </w:p>
    <w:p>
      <w:pPr>
        <w:pStyle w:val="ListNumber"/>
        <w:spacing w:after="80"/>
      </w:pPr>
      <w:r>
        <w:t>Tutup dengan kesimpulan dan arah tindakan.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