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1CE" w:rsidRDefault="00AF42C6">
      <w:pPr>
        <w:pStyle w:val="Ttulo"/>
      </w:pPr>
      <w:bookmarkStart w:id="0" w:name="_4zrprtexvebc" w:colFirst="0" w:colLast="0"/>
      <w:bookmarkEnd w:id="0"/>
      <w:r>
        <w:t>ASEGURAMIENTO DE CAL</w:t>
      </w:r>
      <w:r w:rsidR="001C4FF1">
        <w:t xml:space="preserve">IDAD DE PROCESOS </w:t>
      </w:r>
      <w:r w:rsidR="00364807">
        <w:t>–</w:t>
      </w:r>
      <w:r w:rsidR="001C4FF1">
        <w:t xml:space="preserve"> </w:t>
      </w:r>
      <w:r w:rsidR="00376A79">
        <w:t>CMMI</w:t>
      </w:r>
      <w:r w:rsidR="00A90232">
        <w:t xml:space="preserve"> - DEV</w:t>
      </w:r>
    </w:p>
    <w:p w:rsidR="002931CE" w:rsidRDefault="00AF42C6">
      <w:pPr>
        <w:jc w:val="center"/>
        <w:rPr>
          <w:b/>
          <w:sz w:val="24"/>
          <w:szCs w:val="24"/>
        </w:rPr>
      </w:pPr>
      <w:r>
        <w:rPr>
          <w:b/>
          <w:sz w:val="24"/>
          <w:szCs w:val="24"/>
        </w:rPr>
        <w:t>Universidad Tecnológica Nacional</w:t>
      </w:r>
    </w:p>
    <w:p w:rsidR="002931CE" w:rsidRDefault="00AF42C6">
      <w:pPr>
        <w:jc w:val="center"/>
        <w:rPr>
          <w:b/>
          <w:sz w:val="24"/>
          <w:szCs w:val="24"/>
        </w:rPr>
      </w:pPr>
      <w:r>
        <w:rPr>
          <w:b/>
          <w:sz w:val="24"/>
          <w:szCs w:val="24"/>
        </w:rPr>
        <w:t>Facultad Regional Córdoba</w:t>
      </w:r>
    </w:p>
    <w:p w:rsidR="002931CE" w:rsidRDefault="002931CE">
      <w:pPr>
        <w:jc w:val="center"/>
        <w:rPr>
          <w:sz w:val="22"/>
          <w:szCs w:val="22"/>
        </w:rPr>
      </w:pPr>
    </w:p>
    <w:p w:rsidR="002931CE" w:rsidRDefault="00CB17D4">
      <w:pPr>
        <w:jc w:val="center"/>
        <w:rPr>
          <w:sz w:val="22"/>
          <w:szCs w:val="22"/>
        </w:rPr>
      </w:pPr>
      <w:r>
        <w:rPr>
          <w:sz w:val="22"/>
          <w:szCs w:val="22"/>
        </w:rPr>
        <w:t>Cahuana Keyssi</w:t>
      </w:r>
      <w:r>
        <w:rPr>
          <w:sz w:val="22"/>
          <w:szCs w:val="22"/>
        </w:rPr>
        <w:tab/>
      </w:r>
      <w:r>
        <w:rPr>
          <w:sz w:val="22"/>
          <w:szCs w:val="22"/>
        </w:rPr>
        <w:tab/>
        <w:t>69045</w:t>
      </w:r>
    </w:p>
    <w:p w:rsidR="002931CE" w:rsidRDefault="00CB17D4">
      <w:pPr>
        <w:jc w:val="center"/>
        <w:rPr>
          <w:sz w:val="20"/>
          <w:szCs w:val="20"/>
        </w:rPr>
      </w:pPr>
      <w:r>
        <w:rPr>
          <w:sz w:val="20"/>
          <w:szCs w:val="20"/>
        </w:rPr>
        <w:t>Cahuana.key@gmail</w:t>
      </w:r>
      <w:r w:rsidR="00AF42C6">
        <w:rPr>
          <w:sz w:val="20"/>
          <w:szCs w:val="20"/>
        </w:rPr>
        <w:t>.com</w:t>
      </w:r>
    </w:p>
    <w:p w:rsidR="002931CE" w:rsidRDefault="00CB17D4">
      <w:pPr>
        <w:jc w:val="center"/>
        <w:rPr>
          <w:sz w:val="22"/>
          <w:szCs w:val="22"/>
        </w:rPr>
      </w:pPr>
      <w:r>
        <w:rPr>
          <w:sz w:val="22"/>
          <w:szCs w:val="22"/>
        </w:rPr>
        <w:t>Casares Mauricio</w:t>
      </w:r>
      <w:r w:rsidR="00AF42C6">
        <w:rPr>
          <w:sz w:val="22"/>
          <w:szCs w:val="22"/>
        </w:rPr>
        <w:tab/>
      </w:r>
      <w:r w:rsidR="00AF42C6">
        <w:rPr>
          <w:sz w:val="22"/>
          <w:szCs w:val="22"/>
        </w:rPr>
        <w:tab/>
        <w:t>6</w:t>
      </w:r>
      <w:r>
        <w:rPr>
          <w:sz w:val="22"/>
          <w:szCs w:val="22"/>
        </w:rPr>
        <w:t>xxxx</w:t>
      </w:r>
    </w:p>
    <w:p w:rsidR="002931CE" w:rsidRDefault="00AF42C6">
      <w:pPr>
        <w:jc w:val="center"/>
        <w:rPr>
          <w:sz w:val="20"/>
          <w:szCs w:val="20"/>
        </w:rPr>
      </w:pPr>
      <w:r>
        <w:rPr>
          <w:sz w:val="20"/>
          <w:szCs w:val="20"/>
        </w:rPr>
        <w:t>@gmail.com</w:t>
      </w:r>
    </w:p>
    <w:p w:rsidR="002931CE" w:rsidRDefault="00CB17D4">
      <w:pPr>
        <w:jc w:val="center"/>
        <w:rPr>
          <w:sz w:val="22"/>
          <w:szCs w:val="22"/>
        </w:rPr>
      </w:pPr>
      <w:r>
        <w:rPr>
          <w:sz w:val="22"/>
          <w:szCs w:val="22"/>
        </w:rPr>
        <w:t xml:space="preserve">Ludueña </w:t>
      </w:r>
      <w:r w:rsidR="008B3D6B">
        <w:rPr>
          <w:sz w:val="22"/>
          <w:szCs w:val="22"/>
        </w:rPr>
        <w:t>Joaquín</w:t>
      </w:r>
      <w:r>
        <w:rPr>
          <w:sz w:val="22"/>
          <w:szCs w:val="22"/>
        </w:rPr>
        <w:tab/>
      </w:r>
      <w:r>
        <w:rPr>
          <w:sz w:val="22"/>
          <w:szCs w:val="22"/>
        </w:rPr>
        <w:tab/>
        <w:t>6xxxx</w:t>
      </w:r>
    </w:p>
    <w:p w:rsidR="002931CE" w:rsidRDefault="00AF42C6">
      <w:pPr>
        <w:jc w:val="center"/>
        <w:rPr>
          <w:sz w:val="20"/>
          <w:szCs w:val="20"/>
        </w:rPr>
      </w:pPr>
      <w:r>
        <w:rPr>
          <w:sz w:val="20"/>
          <w:szCs w:val="20"/>
        </w:rPr>
        <w:t>@gmail.com</w:t>
      </w:r>
    </w:p>
    <w:p w:rsidR="002931CE" w:rsidRDefault="00CB17D4">
      <w:pPr>
        <w:jc w:val="center"/>
        <w:rPr>
          <w:sz w:val="22"/>
          <w:szCs w:val="22"/>
        </w:rPr>
      </w:pPr>
      <w:r>
        <w:rPr>
          <w:sz w:val="22"/>
          <w:szCs w:val="22"/>
        </w:rPr>
        <w:t>Pinchiroli Santiago</w:t>
      </w:r>
      <w:r w:rsidR="008B3D6B">
        <w:rPr>
          <w:sz w:val="22"/>
          <w:szCs w:val="22"/>
        </w:rPr>
        <w:tab/>
      </w:r>
      <w:r>
        <w:rPr>
          <w:sz w:val="22"/>
          <w:szCs w:val="22"/>
        </w:rPr>
        <w:t>6</w:t>
      </w:r>
      <w:r w:rsidR="008B3D6B">
        <w:rPr>
          <w:sz w:val="22"/>
          <w:szCs w:val="22"/>
        </w:rPr>
        <w:t>8613</w:t>
      </w:r>
    </w:p>
    <w:p w:rsidR="002931CE" w:rsidRDefault="008B3D6B">
      <w:pPr>
        <w:jc w:val="center"/>
        <w:rPr>
          <w:sz w:val="20"/>
          <w:szCs w:val="20"/>
        </w:rPr>
      </w:pPr>
      <w:r>
        <w:rPr>
          <w:sz w:val="20"/>
          <w:szCs w:val="20"/>
        </w:rPr>
        <w:t>santiagopinchi</w:t>
      </w:r>
      <w:r w:rsidR="00AF42C6">
        <w:rPr>
          <w:sz w:val="20"/>
          <w:szCs w:val="20"/>
        </w:rPr>
        <w:t>@gmail.com</w:t>
      </w:r>
    </w:p>
    <w:p w:rsidR="002931CE" w:rsidRDefault="00CB17D4">
      <w:pPr>
        <w:jc w:val="center"/>
        <w:rPr>
          <w:sz w:val="22"/>
          <w:szCs w:val="22"/>
        </w:rPr>
      </w:pPr>
      <w:r>
        <w:rPr>
          <w:sz w:val="22"/>
          <w:szCs w:val="22"/>
        </w:rPr>
        <w:t>Ribero Martin</w:t>
      </w:r>
      <w:r>
        <w:rPr>
          <w:sz w:val="22"/>
          <w:szCs w:val="22"/>
        </w:rPr>
        <w:tab/>
      </w:r>
      <w:r>
        <w:rPr>
          <w:sz w:val="22"/>
          <w:szCs w:val="22"/>
        </w:rPr>
        <w:tab/>
        <w:t>6xxxx</w:t>
      </w:r>
    </w:p>
    <w:p w:rsidR="002931CE" w:rsidRDefault="00AF42C6">
      <w:pPr>
        <w:jc w:val="center"/>
        <w:rPr>
          <w:sz w:val="22"/>
          <w:szCs w:val="22"/>
        </w:rPr>
      </w:pPr>
      <w:r>
        <w:rPr>
          <w:sz w:val="20"/>
          <w:szCs w:val="20"/>
        </w:rPr>
        <w:t>@gmail.com</w:t>
      </w:r>
    </w:p>
    <w:p w:rsidR="002931CE" w:rsidRDefault="002931CE">
      <w:pPr>
        <w:jc w:val="center"/>
        <w:rPr>
          <w:sz w:val="22"/>
          <w:szCs w:val="22"/>
        </w:rPr>
      </w:pPr>
    </w:p>
    <w:p w:rsidR="002931CE" w:rsidRDefault="002931CE">
      <w:pPr>
        <w:jc w:val="left"/>
        <w:rPr>
          <w:sz w:val="22"/>
          <w:szCs w:val="22"/>
        </w:rPr>
        <w:sectPr w:rsidR="002931CE">
          <w:headerReference w:type="default" r:id="rId7"/>
          <w:footerReference w:type="default" r:id="rId8"/>
          <w:pgSz w:w="12240" w:h="15840"/>
          <w:pgMar w:top="1418" w:right="1134" w:bottom="1134" w:left="1418" w:header="0" w:footer="720" w:gutter="0"/>
          <w:pgNumType w:start="1"/>
          <w:cols w:space="720"/>
        </w:sectPr>
      </w:pPr>
    </w:p>
    <w:p w:rsidR="002931CE" w:rsidRDefault="002931CE">
      <w:pPr>
        <w:tabs>
          <w:tab w:val="left" w:pos="425"/>
        </w:tabs>
        <w:rPr>
          <w:b/>
        </w:rPr>
      </w:pPr>
    </w:p>
    <w:p w:rsidR="00364807" w:rsidRDefault="00AF42C6" w:rsidP="00364807">
      <w:pPr>
        <w:tabs>
          <w:tab w:val="left" w:pos="425"/>
        </w:tabs>
        <w:rPr>
          <w:i/>
        </w:rPr>
      </w:pPr>
      <w:r>
        <w:rPr>
          <w:b/>
          <w:sz w:val="20"/>
          <w:szCs w:val="20"/>
        </w:rPr>
        <w:t xml:space="preserve">RESUMEN: </w:t>
      </w:r>
      <w:r>
        <w:rPr>
          <w:i/>
        </w:rPr>
        <w:t xml:space="preserve">En el presente </w:t>
      </w:r>
      <w:proofErr w:type="spellStart"/>
      <w:r>
        <w:rPr>
          <w:i/>
        </w:rPr>
        <w:t>paper</w:t>
      </w:r>
      <w:proofErr w:type="spellEnd"/>
      <w:r>
        <w:rPr>
          <w:i/>
        </w:rPr>
        <w:t xml:space="preserve"> de</w:t>
      </w:r>
      <w:r w:rsidR="00A83EEA">
        <w:rPr>
          <w:i/>
        </w:rPr>
        <w:t xml:space="preserve">sarrollamos en primer lugar una breve </w:t>
      </w:r>
      <w:r w:rsidR="00B52D85">
        <w:rPr>
          <w:i/>
        </w:rPr>
        <w:t>descripción</w:t>
      </w:r>
      <w:r w:rsidR="00A83EEA">
        <w:rPr>
          <w:i/>
        </w:rPr>
        <w:t xml:space="preserve"> del concepto de CMMI, para tener una mejor comprensión del </w:t>
      </w:r>
      <w:r w:rsidR="00364807">
        <w:rPr>
          <w:i/>
        </w:rPr>
        <w:t xml:space="preserve">concepto de </w:t>
      </w:r>
      <w:r w:rsidR="00376A79">
        <w:rPr>
          <w:i/>
        </w:rPr>
        <w:t>CMM</w:t>
      </w:r>
      <w:r w:rsidR="00A90232">
        <w:rPr>
          <w:i/>
        </w:rPr>
        <w:t>I-DEV, que es un modelo</w:t>
      </w:r>
      <w:r w:rsidR="00B52D85">
        <w:rPr>
          <w:i/>
        </w:rPr>
        <w:t xml:space="preserve"> de CMMI,</w:t>
      </w:r>
      <w:r w:rsidR="00A90232">
        <w:rPr>
          <w:i/>
        </w:rPr>
        <w:t xml:space="preserve"> para el desarrollo de mejores productos y mejores servicios</w:t>
      </w:r>
      <w:r w:rsidR="00447A8F">
        <w:rPr>
          <w:i/>
        </w:rPr>
        <w:t>, permitiendo evaluar de esta manera el nivel de madurez de una organización, o la capacidad de sus procesos.</w:t>
      </w:r>
    </w:p>
    <w:p w:rsidR="001C07C9" w:rsidRDefault="001C07C9" w:rsidP="00364807">
      <w:pPr>
        <w:tabs>
          <w:tab w:val="left" w:pos="425"/>
        </w:tabs>
        <w:rPr>
          <w:i/>
        </w:rPr>
      </w:pPr>
    </w:p>
    <w:p w:rsidR="001C07C9" w:rsidRDefault="001C07C9" w:rsidP="00364807">
      <w:pPr>
        <w:tabs>
          <w:tab w:val="left" w:pos="425"/>
        </w:tabs>
        <w:rPr>
          <w:i/>
        </w:rPr>
      </w:pPr>
      <w:r>
        <w:rPr>
          <w:i/>
        </w:rPr>
        <w:t xml:space="preserve">También se abordarán </w:t>
      </w:r>
      <w:r w:rsidRPr="001C07C9">
        <w:rPr>
          <w:i/>
        </w:rPr>
        <w:t xml:space="preserve">las metas y las prácticas genéricas, y las metas y prácticas específicas, para </w:t>
      </w:r>
      <w:r w:rsidRPr="008B3D6B">
        <w:rPr>
          <w:i/>
          <w:color w:val="FF0000"/>
          <w:highlight w:val="yellow"/>
        </w:rPr>
        <w:t>hacerse una idea</w:t>
      </w:r>
      <w:r w:rsidRPr="008B3D6B">
        <w:rPr>
          <w:i/>
          <w:color w:val="FF0000"/>
        </w:rPr>
        <w:t xml:space="preserve"> </w:t>
      </w:r>
      <w:r w:rsidRPr="001C07C9">
        <w:rPr>
          <w:i/>
        </w:rPr>
        <w:t>del alcance de las buenas prácticas contenidas en el modelo</w:t>
      </w:r>
      <w:r>
        <w:rPr>
          <w:i/>
        </w:rPr>
        <w:t>.</w:t>
      </w:r>
    </w:p>
    <w:p w:rsidR="002931CE" w:rsidRPr="00376A79" w:rsidRDefault="002931CE" w:rsidP="000F2CD8">
      <w:pPr>
        <w:tabs>
          <w:tab w:val="left" w:pos="425"/>
        </w:tabs>
        <w:ind w:firstLine="0"/>
        <w:rPr>
          <w:i/>
          <w:color w:val="FF0000"/>
        </w:rPr>
      </w:pPr>
    </w:p>
    <w:p w:rsidR="002931CE" w:rsidRDefault="000F2CD8">
      <w:pPr>
        <w:tabs>
          <w:tab w:val="left" w:pos="425"/>
        </w:tabs>
        <w:rPr>
          <w:i/>
          <w:color w:val="FF0000"/>
        </w:rPr>
      </w:pPr>
      <w:r>
        <w:rPr>
          <w:i/>
          <w:color w:val="FF0000"/>
        </w:rPr>
        <w:t xml:space="preserve">se puede agregar algo </w:t>
      </w:r>
      <w:proofErr w:type="gramStart"/>
      <w:r>
        <w:rPr>
          <w:i/>
          <w:color w:val="FF0000"/>
        </w:rPr>
        <w:t>de  la</w:t>
      </w:r>
      <w:proofErr w:type="gramEnd"/>
      <w:r>
        <w:rPr>
          <w:i/>
          <w:color w:val="FF0000"/>
        </w:rPr>
        <w:t xml:space="preserve"> </w:t>
      </w:r>
      <w:proofErr w:type="spellStart"/>
      <w:r>
        <w:rPr>
          <w:i/>
          <w:color w:val="FF0000"/>
        </w:rPr>
        <w:t>pag</w:t>
      </w:r>
      <w:proofErr w:type="spellEnd"/>
      <w:r>
        <w:rPr>
          <w:i/>
          <w:color w:val="FF0000"/>
        </w:rPr>
        <w:t xml:space="preserve"> 9</w:t>
      </w:r>
    </w:p>
    <w:p w:rsidR="00447A8F" w:rsidRPr="00447A8F" w:rsidRDefault="00447A8F" w:rsidP="00A83EEA">
      <w:pPr>
        <w:tabs>
          <w:tab w:val="left" w:pos="425"/>
        </w:tabs>
        <w:ind w:firstLine="0"/>
        <w:rPr>
          <w:i/>
        </w:rPr>
      </w:pPr>
    </w:p>
    <w:p w:rsidR="002931CE" w:rsidRDefault="002931CE">
      <w:pPr>
        <w:tabs>
          <w:tab w:val="left" w:pos="425"/>
        </w:tabs>
      </w:pPr>
    </w:p>
    <w:p w:rsidR="002931CE" w:rsidRDefault="002931CE">
      <w:pPr>
        <w:tabs>
          <w:tab w:val="left" w:pos="425"/>
        </w:tabs>
      </w:pPr>
    </w:p>
    <w:p w:rsidR="002931CE" w:rsidRDefault="00AF42C6">
      <w:pPr>
        <w:ind w:firstLine="227"/>
      </w:pPr>
      <w:r>
        <w:rPr>
          <w:b/>
        </w:rPr>
        <w:t>PALABRAS CLAVE</w:t>
      </w:r>
      <w:r>
        <w:t>: aseguramiento de calidad de procesos, modelos de calidad</w:t>
      </w:r>
      <w:r w:rsidR="008B3D6B">
        <w:t xml:space="preserve">, </w:t>
      </w:r>
      <w:r w:rsidR="008B3D6B">
        <w:t>Ingeniería de software</w:t>
      </w:r>
      <w:r>
        <w:t>.</w:t>
      </w:r>
    </w:p>
    <w:p w:rsidR="002931CE" w:rsidRDefault="002931CE"/>
    <w:p w:rsidR="002931CE" w:rsidRDefault="00AF42C6">
      <w:pPr>
        <w:pStyle w:val="Ttulo1"/>
      </w:pPr>
      <w:bookmarkStart w:id="1" w:name="_4vpf0hsudgyq" w:colFirst="0" w:colLast="0"/>
      <w:bookmarkEnd w:id="1"/>
      <w:r>
        <w:t>1</w:t>
      </w:r>
      <w:r>
        <w:tab/>
        <w:t>INTRODUCCIÓN</w:t>
      </w:r>
    </w:p>
    <w:p w:rsidR="002931CE" w:rsidRDefault="002931CE"/>
    <w:p w:rsidR="002931CE" w:rsidRDefault="00AF42C6">
      <w:r>
        <w:t xml:space="preserve">A continuación describiremos el </w:t>
      </w:r>
      <w:r w:rsidRPr="00447A8F">
        <w:rPr>
          <w:color w:val="FF0000"/>
        </w:rPr>
        <w:t xml:space="preserve">funcionamiento, estructura y organización </w:t>
      </w:r>
      <w:r>
        <w:t>de</w:t>
      </w:r>
      <w:r w:rsidR="00447A8F">
        <w:t xml:space="preserve"> las buenas practicas que proporciona CMMI-DEV en su versión</w:t>
      </w:r>
      <w:r w:rsidR="00B52D85">
        <w:t xml:space="preserve"> </w:t>
      </w:r>
      <w:r w:rsidR="00447A8F">
        <w:t>V1.3</w:t>
      </w:r>
      <w:r>
        <w:t xml:space="preserve">, </w:t>
      </w:r>
      <w:r w:rsidR="00B33DE6">
        <w:t xml:space="preserve">que </w:t>
      </w:r>
      <w:proofErr w:type="spellStart"/>
      <w:r w:rsidR="00B33DE6">
        <w:t>esta</w:t>
      </w:r>
      <w:proofErr w:type="spellEnd"/>
      <w:r w:rsidR="00B33DE6">
        <w:t xml:space="preserve"> basado en el CMMI </w:t>
      </w:r>
      <w:proofErr w:type="spellStart"/>
      <w:r w:rsidR="00B33DE6">
        <w:t>Model</w:t>
      </w:r>
      <w:proofErr w:type="spellEnd"/>
      <w:r w:rsidR="00B33DE6">
        <w:t xml:space="preserve"> </w:t>
      </w:r>
      <w:proofErr w:type="spellStart"/>
      <w:r w:rsidR="00B33DE6">
        <w:t>Fundation</w:t>
      </w:r>
      <w:proofErr w:type="spellEnd"/>
      <w:r w:rsidR="00B33DE6">
        <w:t xml:space="preserve">, </w:t>
      </w:r>
      <w:r>
        <w:t>para ello nos basaremos principalmente en la bibliografía sugerida por la cátedra de Ingeniería de Software de la carrera de Ingeniería en Sistemas de Información (en pa</w:t>
      </w:r>
      <w:r w:rsidR="00B33DE6">
        <w:t>rticular, usaremos CMMI-</w:t>
      </w:r>
      <w:proofErr w:type="gramStart"/>
      <w:r w:rsidR="00B33DE6">
        <w:t>DEV,V</w:t>
      </w:r>
      <w:proofErr w:type="gramEnd"/>
      <w:r w:rsidR="00B33DE6">
        <w:t xml:space="preserve">1.3 -Software </w:t>
      </w:r>
      <w:proofErr w:type="spellStart"/>
      <w:r w:rsidR="00B33DE6">
        <w:t>Engineering</w:t>
      </w:r>
      <w:proofErr w:type="spellEnd"/>
      <w:r w:rsidR="00B33DE6">
        <w:t xml:space="preserve"> </w:t>
      </w:r>
      <w:proofErr w:type="spellStart"/>
      <w:r w:rsidR="00B33DE6">
        <w:t>Institute</w:t>
      </w:r>
      <w:proofErr w:type="spellEnd"/>
      <w:r>
        <w:t>)</w:t>
      </w:r>
    </w:p>
    <w:p w:rsidR="002931CE" w:rsidRDefault="00AF42C6">
      <w:r>
        <w:t xml:space="preserve">La redacción del </w:t>
      </w:r>
      <w:proofErr w:type="spellStart"/>
      <w:r>
        <w:t>paper</w:t>
      </w:r>
      <w:proofErr w:type="spellEnd"/>
      <w:r>
        <w:t xml:space="preserve"> se hará de acuerdo al estándar IEEE.</w:t>
      </w:r>
    </w:p>
    <w:p w:rsidR="002931CE" w:rsidRDefault="00AF42C6">
      <w:pPr>
        <w:tabs>
          <w:tab w:val="left" w:pos="425"/>
        </w:tabs>
      </w:pPr>
      <w:r>
        <w:t>Se intentará desarrollar los elementos claves del modelo de evalu</w:t>
      </w:r>
      <w:r w:rsidR="00B33DE6">
        <w:t>ación y mejora de procesos CMMI-</w:t>
      </w:r>
      <w:proofErr w:type="gramStart"/>
      <w:r w:rsidR="00B33DE6">
        <w:t>DEV,V</w:t>
      </w:r>
      <w:proofErr w:type="gramEnd"/>
      <w:r w:rsidR="00B33DE6">
        <w:t xml:space="preserve">1.3  </w:t>
      </w:r>
      <w:r>
        <w:t xml:space="preserve">, </w:t>
      </w:r>
      <w:r w:rsidRPr="00B33DE6">
        <w:rPr>
          <w:color w:val="FF0000"/>
        </w:rPr>
        <w:t>teniendo especial consideración en la forma en que se realizan dichos procedimientos. Daremos también una opinión personal y una apreciación acerca de la utilidad que se le da en las organizaciones.</w:t>
      </w:r>
    </w:p>
    <w:p w:rsidR="002931CE" w:rsidRDefault="002931CE">
      <w:pPr>
        <w:ind w:firstLine="0"/>
      </w:pPr>
    </w:p>
    <w:p w:rsidR="002931CE" w:rsidRDefault="00A83EEA">
      <w:pPr>
        <w:pStyle w:val="Ttulo1"/>
      </w:pPr>
      <w:bookmarkStart w:id="2" w:name="_gzsmidowzm5a" w:colFirst="0" w:colLast="0"/>
      <w:bookmarkEnd w:id="2"/>
      <w:r>
        <w:t>2</w:t>
      </w:r>
      <w:r>
        <w:tab/>
        <w:t>¿Qué es CMMI</w:t>
      </w:r>
      <w:r w:rsidR="00AF42C6">
        <w:t>?</w:t>
      </w:r>
    </w:p>
    <w:p w:rsidR="00A83EEA" w:rsidRDefault="00A83EEA" w:rsidP="00A83EEA">
      <w:pPr>
        <w:ind w:firstLine="0"/>
      </w:pPr>
    </w:p>
    <w:p w:rsidR="00A83EEA" w:rsidRDefault="001C07C9">
      <w:r>
        <w:t>CMMI es</w:t>
      </w:r>
      <w:r w:rsidRPr="001C07C9">
        <w:t xml:space="preserve"> un modelo de madurez de capacidades desarrollado por el Instituto de Ingeniería de Software, parte de la Universidad Carnegie Mellon en </w:t>
      </w:r>
      <w:r w:rsidR="00A83EEA">
        <w:t xml:space="preserve">Pittsburgh, EEUU. </w:t>
      </w:r>
    </w:p>
    <w:p w:rsidR="00A83EEA" w:rsidRDefault="00A83EEA" w:rsidP="00A83EEA">
      <w:pPr>
        <w:ind w:firstLine="0"/>
        <w:rPr>
          <w:i/>
        </w:rPr>
      </w:pPr>
      <w:r>
        <w:t>CMMI e</w:t>
      </w:r>
      <w:r w:rsidRPr="00A83EEA">
        <w:t>s un conjunto</w:t>
      </w:r>
      <w:r>
        <w:t xml:space="preserve"> de buenas prácticas</w:t>
      </w:r>
      <w:r w:rsidRPr="00A83EEA">
        <w:t xml:space="preserve"> reconocido mundialmente que permiten</w:t>
      </w:r>
      <w:r>
        <w:t xml:space="preserve"> a las organizaciones mejorar el</w:t>
      </w:r>
      <w:r w:rsidRPr="00A83EEA">
        <w:t xml:space="preserve"> rendim</w:t>
      </w:r>
      <w:r>
        <w:t>iento,</w:t>
      </w:r>
      <w:r w:rsidRPr="00A83EEA">
        <w:t xml:space="preserve"> </w:t>
      </w:r>
      <w:r>
        <w:t xml:space="preserve">las </w:t>
      </w:r>
      <w:r w:rsidRPr="00A83EEA">
        <w:t>capacidades clave</w:t>
      </w:r>
      <w:r>
        <w:t xml:space="preserve"> y los procesos de </w:t>
      </w:r>
      <w:r w:rsidRPr="00A83EEA">
        <w:t>negocios críticos</w:t>
      </w:r>
      <w:r>
        <w:t xml:space="preserve">. Consta de 3 modelos; </w:t>
      </w:r>
      <w:r>
        <w:rPr>
          <w:i/>
        </w:rPr>
        <w:t>CMMI-DEV, CMMI-ACQ y CMMI-SVC</w:t>
      </w:r>
    </w:p>
    <w:p w:rsidR="00B52D85" w:rsidRDefault="00B52D85" w:rsidP="00A83EEA">
      <w:pPr>
        <w:ind w:firstLine="0"/>
      </w:pPr>
    </w:p>
    <w:p w:rsidR="00A83EEA" w:rsidRDefault="00A83EEA" w:rsidP="00A83EEA">
      <w:pPr>
        <w:pStyle w:val="Ttulo1"/>
      </w:pPr>
      <w:r>
        <w:t>3</w:t>
      </w:r>
      <w:r>
        <w:tab/>
        <w:t>¿Qué es CMMI-</w:t>
      </w:r>
      <w:bookmarkStart w:id="3" w:name="_GoBack"/>
      <w:bookmarkEnd w:id="3"/>
      <w:r>
        <w:t>DEV?</w:t>
      </w:r>
    </w:p>
    <w:p w:rsidR="00B52D85" w:rsidRDefault="00B52D85" w:rsidP="00B52D85">
      <w:pPr>
        <w:ind w:firstLine="0"/>
      </w:pPr>
    </w:p>
    <w:p w:rsidR="00B91DA7" w:rsidRDefault="00B33DE6">
      <w:r>
        <w:t>El modelo CMMI-DEV V1.3 es una colección de buenas prácticas de desarrollo procedentes de la industria y del gobierno, que se ha generado a pa</w:t>
      </w:r>
      <w:r w:rsidR="00B52D85">
        <w:t>rtir de la Arquitectura y Marco</w:t>
      </w:r>
      <w:r>
        <w:t xml:space="preserve"> de CMMI V1.3. CMMIDEV está basado en el CMMI </w:t>
      </w:r>
      <w:proofErr w:type="spellStart"/>
      <w:r>
        <w:t>Model</w:t>
      </w:r>
      <w:proofErr w:type="spellEnd"/>
      <w:r>
        <w:t xml:space="preserve"> </w:t>
      </w:r>
      <w:proofErr w:type="spellStart"/>
      <w:r>
        <w:t>Foundation</w:t>
      </w:r>
      <w:proofErr w:type="spellEnd"/>
      <w:r>
        <w:t xml:space="preserve"> o CMF (es decir, componentes del modelo comunes a todos los modelos y constelaci</w:t>
      </w:r>
      <w:r w:rsidR="00B52D85">
        <w:t>ones CMMI</w:t>
      </w:r>
      <w:r>
        <w:t>) e incorpora el trabajo realizado por organizaciones de</w:t>
      </w:r>
      <w:r>
        <w:rPr>
          <w:highlight w:val="white"/>
        </w:rPr>
        <w:t xml:space="preserve"> </w:t>
      </w:r>
      <w:r>
        <w:t>desarrollo para adaptar CMMI para su uso en el desarrollo de productos y servicios.</w:t>
      </w:r>
      <w:r w:rsidR="00B91DA7" w:rsidRPr="00B91DA7">
        <w:t xml:space="preserve"> </w:t>
      </w:r>
    </w:p>
    <w:p w:rsidR="00B91DA7" w:rsidRDefault="00B91DA7"/>
    <w:p w:rsidR="002931CE" w:rsidRDefault="00B91DA7">
      <w:pPr>
        <w:rPr>
          <w:highlight w:val="white"/>
        </w:rPr>
      </w:pPr>
      <w:r>
        <w:t>CMMI-DEV contiene 22 áreas de proceso. De esas áreas de proceso, 16 son áreas de proceso base, 1 es un área de proceso compartida y 5 son áreas de proceso específicas de desarrollo</w:t>
      </w:r>
      <w:r w:rsidR="00B33DE6">
        <w:rPr>
          <w:highlight w:val="white"/>
        </w:rPr>
        <w:t xml:space="preserve"> </w:t>
      </w:r>
      <w:r w:rsidR="00AF42C6">
        <w:rPr>
          <w:highlight w:val="white"/>
        </w:rPr>
        <w:t>[1]</w:t>
      </w:r>
    </w:p>
    <w:p w:rsidR="00B91DA7" w:rsidRDefault="00B91DA7">
      <w:pPr>
        <w:rPr>
          <w:highlight w:val="white"/>
        </w:rPr>
      </w:pPr>
    </w:p>
    <w:p w:rsidR="00B91DA7" w:rsidRDefault="00B91DA7">
      <w:pPr>
        <w:rPr>
          <w:highlight w:val="white"/>
        </w:rPr>
      </w:pPr>
      <w:r>
        <w:t>Todas las prácticas del modelo CMMI-DEV se centran en las actividades de la organización desarrolladora.</w:t>
      </w:r>
    </w:p>
    <w:p w:rsidR="00B91DA7" w:rsidRDefault="00B91DA7">
      <w:pPr>
        <w:rPr>
          <w:highlight w:val="white"/>
        </w:rPr>
      </w:pPr>
    </w:p>
    <w:p w:rsidR="002931CE" w:rsidRPr="00B33DE6" w:rsidRDefault="00B33DE6">
      <w:pPr>
        <w:ind w:firstLine="0"/>
        <w:rPr>
          <w:color w:val="FF0000"/>
        </w:rPr>
      </w:pPr>
      <w:r>
        <w:t>(</w:t>
      </w:r>
      <w:proofErr w:type="spellStart"/>
      <w:r>
        <w:rPr>
          <w:color w:val="FF0000"/>
        </w:rPr>
        <w:t>pag</w:t>
      </w:r>
      <w:proofErr w:type="spellEnd"/>
      <w:r>
        <w:rPr>
          <w:color w:val="FF0000"/>
        </w:rPr>
        <w:t xml:space="preserve"> 7 del </w:t>
      </w:r>
      <w:proofErr w:type="spellStart"/>
      <w:r>
        <w:rPr>
          <w:color w:val="FF0000"/>
        </w:rPr>
        <w:t>pdf</w:t>
      </w:r>
      <w:proofErr w:type="spellEnd"/>
      <w:r>
        <w:rPr>
          <w:color w:val="FF0000"/>
        </w:rPr>
        <w:t>, en propósito.</w:t>
      </w:r>
      <w:r w:rsidR="00143CC8">
        <w:rPr>
          <w:color w:val="FF0000"/>
        </w:rPr>
        <w:t>)</w:t>
      </w:r>
    </w:p>
    <w:p w:rsidR="002931CE" w:rsidRDefault="00B52D85">
      <w:pPr>
        <w:pStyle w:val="Ttulo1"/>
      </w:pPr>
      <w:bookmarkStart w:id="4" w:name="_7dwgp8tu34rp" w:colFirst="0" w:colLast="0"/>
      <w:bookmarkEnd w:id="4"/>
      <w:r>
        <w:t>4</w:t>
      </w:r>
      <w:r w:rsidR="00AF42C6">
        <w:tab/>
        <w:t>¿Para qué sirve?</w:t>
      </w:r>
    </w:p>
    <w:p w:rsidR="00B91DA7" w:rsidRDefault="00B91DA7">
      <w:pPr>
        <w:rPr>
          <w:highlight w:val="white"/>
        </w:rPr>
      </w:pPr>
    </w:p>
    <w:p w:rsidR="00B91DA7" w:rsidRDefault="009E6963">
      <w:pPr>
        <w:rPr>
          <w:highlight w:val="white"/>
        </w:rPr>
      </w:pPr>
      <w:r>
        <w:rPr>
          <w:highlight w:val="white"/>
        </w:rPr>
        <w:t xml:space="preserve">CMMI, consta de un conjunto de buenas prácticas que </w:t>
      </w:r>
      <w:r w:rsidRPr="009E6963">
        <w:rPr>
          <w:highlight w:val="white"/>
        </w:rPr>
        <w:t>tratan las actividades de desarrollo aplicadas a productos y servicio</w:t>
      </w:r>
      <w:r w:rsidR="00B91DA7">
        <w:rPr>
          <w:highlight w:val="white"/>
        </w:rPr>
        <w:t>.</w:t>
      </w:r>
    </w:p>
    <w:p w:rsidR="00B91DA7" w:rsidRDefault="00B91DA7">
      <w:pPr>
        <w:rPr>
          <w:highlight w:val="white"/>
        </w:rPr>
      </w:pPr>
    </w:p>
    <w:p w:rsidR="002931CE" w:rsidRDefault="00B91DA7" w:rsidP="00B91DA7">
      <w:pPr>
        <w:rPr>
          <w:highlight w:val="white"/>
        </w:rPr>
      </w:pPr>
      <w:r>
        <w:rPr>
          <w:highlight w:val="white"/>
        </w:rPr>
        <w:lastRenderedPageBreak/>
        <w:t>CMMI-DEV, aborda las</w:t>
      </w:r>
      <w:r w:rsidR="009E6963">
        <w:rPr>
          <w:highlight w:val="white"/>
        </w:rPr>
        <w:t xml:space="preserve"> practica que cubren el ciclo de vida del producto desde su concepción hast</w:t>
      </w:r>
      <w:r>
        <w:rPr>
          <w:highlight w:val="white"/>
        </w:rPr>
        <w:t>a la entrega y el mantenimiento, de esta forma proporciona una oportunidad para evitar o eliminar nichos y barreras existentes en las áreas más críticas de la organización.</w:t>
      </w:r>
    </w:p>
    <w:p w:rsidR="009E6963" w:rsidRDefault="009E6963" w:rsidP="009E6963">
      <w:pPr>
        <w:ind w:firstLine="0"/>
        <w:rPr>
          <w:highlight w:val="white"/>
        </w:rPr>
      </w:pPr>
    </w:p>
    <w:p w:rsidR="00B91DA7" w:rsidRDefault="008B3D6B" w:rsidP="009E6963">
      <w:pPr>
        <w:ind w:firstLine="0"/>
        <w:rPr>
          <w:highlight w:val="white"/>
        </w:rPr>
      </w:pPr>
      <w:r>
        <w:rPr>
          <w:highlight w:val="whit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2in">
            <v:imagedata r:id="rId9" o:title="imagen1"/>
          </v:shape>
        </w:pict>
      </w:r>
    </w:p>
    <w:p w:rsidR="00B91DA7" w:rsidRDefault="00B91DA7" w:rsidP="009E6963">
      <w:pPr>
        <w:ind w:firstLine="0"/>
        <w:rPr>
          <w:highlight w:val="white"/>
        </w:rPr>
      </w:pPr>
      <w:r>
        <w:rPr>
          <w:highlight w:val="white"/>
        </w:rPr>
        <w:t>Figura1: las tres dimensiones críticas.</w:t>
      </w:r>
    </w:p>
    <w:p w:rsidR="00B91DA7" w:rsidRDefault="00B91DA7" w:rsidP="009E6963">
      <w:pPr>
        <w:ind w:firstLine="0"/>
        <w:rPr>
          <w:color w:val="FF0000"/>
          <w:highlight w:val="white"/>
        </w:rPr>
      </w:pPr>
      <w:r>
        <w:rPr>
          <w:color w:val="FF0000"/>
          <w:highlight w:val="white"/>
        </w:rPr>
        <w:t>Falta terminar---</w:t>
      </w:r>
    </w:p>
    <w:p w:rsidR="00B91DA7" w:rsidRPr="00B91DA7" w:rsidRDefault="0065768F" w:rsidP="009E6963">
      <w:pPr>
        <w:ind w:firstLine="0"/>
        <w:rPr>
          <w:color w:val="FF0000"/>
          <w:highlight w:val="white"/>
        </w:rPr>
      </w:pPr>
      <w:r>
        <w:rPr>
          <w:color w:val="FF0000"/>
          <w:highlight w:val="white"/>
        </w:rPr>
        <w:t xml:space="preserve">EL RESTO ES DEL TP DE </w:t>
      </w:r>
      <w:proofErr w:type="gramStart"/>
      <w:r>
        <w:rPr>
          <w:color w:val="FF0000"/>
          <w:highlight w:val="white"/>
        </w:rPr>
        <w:t>REFERENCIA….</w:t>
      </w:r>
      <w:proofErr w:type="gramEnd"/>
      <w:r>
        <w:rPr>
          <w:color w:val="FF0000"/>
          <w:highlight w:val="white"/>
        </w:rPr>
        <w:t>.</w:t>
      </w:r>
    </w:p>
    <w:p w:rsidR="009E6963" w:rsidRDefault="009E6963">
      <w:pPr>
        <w:rPr>
          <w:highlight w:val="white"/>
        </w:rPr>
      </w:pPr>
    </w:p>
    <w:p w:rsidR="002931CE" w:rsidRDefault="009E6963">
      <w:pPr>
        <w:pStyle w:val="Ttulo1"/>
      </w:pPr>
      <w:bookmarkStart w:id="5" w:name="_2j901tzcsjjs" w:colFirst="0" w:colLast="0"/>
      <w:bookmarkEnd w:id="5"/>
      <w:r>
        <w:t>5</w:t>
      </w:r>
      <w:r w:rsidR="00AF42C6">
        <w:tab/>
        <w:t>Contexto de la evaluación de procesos</w:t>
      </w:r>
    </w:p>
    <w:p w:rsidR="002931CE" w:rsidRDefault="002931CE">
      <w:pPr>
        <w:ind w:firstLine="0"/>
      </w:pPr>
    </w:p>
    <w:p w:rsidR="002931CE" w:rsidRDefault="002931CE">
      <w:pPr>
        <w:ind w:firstLine="0"/>
        <w:rPr>
          <w:highlight w:val="white"/>
        </w:rPr>
      </w:pPr>
    </w:p>
    <w:p w:rsidR="002931CE" w:rsidRDefault="0065768F">
      <w:pPr>
        <w:pStyle w:val="Ttulo1"/>
      </w:pPr>
      <w:bookmarkStart w:id="6" w:name="_u77zlsrdyq6h" w:colFirst="0" w:colLast="0"/>
      <w:bookmarkEnd w:id="6"/>
      <w:r>
        <w:t>6</w:t>
      </w:r>
      <w:r w:rsidR="00AF42C6">
        <w:tab/>
        <w:t>¿Qué componentes lo conforman?</w:t>
      </w:r>
    </w:p>
    <w:p w:rsidR="002931CE" w:rsidRDefault="002931CE">
      <w:pPr>
        <w:rPr>
          <w:highlight w:val="white"/>
        </w:rPr>
      </w:pPr>
    </w:p>
    <w:p w:rsidR="002931CE" w:rsidRDefault="002931CE">
      <w:pPr>
        <w:ind w:firstLine="0"/>
      </w:pPr>
    </w:p>
    <w:p w:rsidR="002931CE" w:rsidRDefault="0065768F">
      <w:pPr>
        <w:pStyle w:val="Ttulo1"/>
      </w:pPr>
      <w:bookmarkStart w:id="7" w:name="_pb9awhsfublk" w:colFirst="0" w:colLast="0"/>
      <w:bookmarkEnd w:id="7"/>
      <w:r>
        <w:t>7</w:t>
      </w:r>
      <w:r w:rsidR="00AF42C6">
        <w:tab/>
        <w:t>Áreas donde se requiere conformidad</w:t>
      </w:r>
    </w:p>
    <w:p w:rsidR="002931CE" w:rsidRDefault="002931CE"/>
    <w:p w:rsidR="002931CE" w:rsidRDefault="00AF42C6">
      <w:r>
        <w:t>El estándar contiene tres áreas en las cuales se requiere conformidad:</w:t>
      </w:r>
    </w:p>
    <w:p w:rsidR="002931CE" w:rsidRDefault="00AF42C6">
      <w:pPr>
        <w:numPr>
          <w:ilvl w:val="0"/>
          <w:numId w:val="13"/>
        </w:numPr>
        <w:contextualSpacing/>
      </w:pPr>
      <w:r>
        <w:t>Respecto a la realización de evaluación de procesos de software, en donde toma relevancia el asesor y el equipo que realiza las evaluaciones, para poder obtener resultados consistentes si lo que se desea es compararlos con otra organización similar de la competencia.</w:t>
      </w:r>
    </w:p>
    <w:p w:rsidR="002931CE" w:rsidRDefault="00AF42C6">
      <w:pPr>
        <w:numPr>
          <w:ilvl w:val="0"/>
          <w:numId w:val="13"/>
        </w:numPr>
        <w:contextualSpacing/>
      </w:pPr>
      <w:r>
        <w:t>Extensiones a las prácticas de referencia, donde se pueden construir variantes de modelos de procesos que aborden necesidades únicas de un sector de la organización, seleccionando procesos específicos y desarrollando procesos extendidos, que pueden incluir prácticas adicionales. Estos procesos extendidos pueden ser desarrollados para uso interno de la organización ante una situación o dominio de aplicación específico. Los resultados de la evaluación generados para estos procesos deben identificar explícitamente las variaciones respecto al modelo estándar. Es por eso importante que se documenten los procesos extendidos, para verificar su conformidad con los requerimientos.</w:t>
      </w:r>
    </w:p>
    <w:p w:rsidR="002931CE" w:rsidRDefault="00AF42C6">
      <w:pPr>
        <w:numPr>
          <w:ilvl w:val="0"/>
          <w:numId w:val="13"/>
        </w:numPr>
        <w:contextualSpacing/>
      </w:pPr>
      <w:r>
        <w:t xml:space="preserve">Construcción y selección de instrumentos de evaluación, en donde dicha herramienta puede </w:t>
      </w:r>
      <w:r>
        <w:t>ser un cuestionario o una simple herramienta automatizada que sirva de apoyo a los evaluadores para realizar un juicio consistente respecto a productos, prácticas y procesos; siempre teniendo en cuenta los requerimientos del estándar.</w:t>
      </w:r>
    </w:p>
    <w:p w:rsidR="002931CE" w:rsidRDefault="002931CE">
      <w:pPr>
        <w:ind w:firstLine="0"/>
      </w:pPr>
    </w:p>
    <w:p w:rsidR="002931CE" w:rsidRDefault="0065768F">
      <w:pPr>
        <w:pStyle w:val="Ttulo1"/>
      </w:pPr>
      <w:bookmarkStart w:id="8" w:name="_xekopbkcj8fc" w:colFirst="0" w:colLast="0"/>
      <w:bookmarkEnd w:id="8"/>
      <w:r>
        <w:t>8</w:t>
      </w:r>
      <w:r w:rsidR="00AF42C6">
        <w:tab/>
        <w:t>Beneficios</w:t>
      </w:r>
    </w:p>
    <w:p w:rsidR="002931CE" w:rsidRDefault="002931CE"/>
    <w:p w:rsidR="002931CE" w:rsidRDefault="00AF42C6">
      <w:pPr>
        <w:numPr>
          <w:ilvl w:val="0"/>
          <w:numId w:val="4"/>
        </w:numPr>
        <w:contextualSpacing/>
      </w:pPr>
      <w:r>
        <w:t>Para adquirentes: poder determinar la capacidad potencial de los procesos de software del proveedor.</w:t>
      </w:r>
    </w:p>
    <w:p w:rsidR="002931CE" w:rsidRDefault="00AF42C6">
      <w:pPr>
        <w:numPr>
          <w:ilvl w:val="0"/>
          <w:numId w:val="4"/>
        </w:numPr>
        <w:contextualSpacing/>
      </w:pPr>
      <w:r>
        <w:t xml:space="preserve">Para proveedores: poder determinar la capacidad potencial de </w:t>
      </w:r>
      <w:proofErr w:type="spellStart"/>
      <w:r>
        <w:t>de</w:t>
      </w:r>
      <w:proofErr w:type="spellEnd"/>
      <w:r>
        <w:t xml:space="preserve"> sus propios procesos de software; poder utilizar el modelo como una hoja de ruta para la mejora de procesos de software.</w:t>
      </w:r>
    </w:p>
    <w:p w:rsidR="002931CE" w:rsidRDefault="00AF42C6">
      <w:pPr>
        <w:numPr>
          <w:ilvl w:val="0"/>
          <w:numId w:val="4"/>
        </w:numPr>
        <w:contextualSpacing/>
      </w:pPr>
      <w:r>
        <w:t>Para asesores: un marco que define todos los aspectos para realizar evaluaciones.</w:t>
      </w:r>
    </w:p>
    <w:p w:rsidR="002931CE" w:rsidRDefault="002931CE"/>
    <w:p w:rsidR="002931CE" w:rsidRDefault="002931CE">
      <w:pPr>
        <w:ind w:firstLine="0"/>
      </w:pPr>
    </w:p>
    <w:p w:rsidR="002931CE" w:rsidRDefault="0065768F">
      <w:pPr>
        <w:pStyle w:val="Ttulo1"/>
      </w:pPr>
      <w:bookmarkStart w:id="9" w:name="_9zwowy3rgtit" w:colFirst="0" w:colLast="0"/>
      <w:bookmarkEnd w:id="9"/>
      <w:r>
        <w:t>9</w:t>
      </w:r>
      <w:r w:rsidR="00AF42C6">
        <w:tab/>
        <w:t>Categorías de procesos</w:t>
      </w:r>
    </w:p>
    <w:p w:rsidR="002931CE" w:rsidRDefault="002931CE"/>
    <w:p w:rsidR="002931CE" w:rsidRDefault="00AF42C6">
      <w:r>
        <w:t>Para realizar una evaluación, se deberá tener en cuenta a las categorías definidas para los procesos:</w:t>
      </w:r>
    </w:p>
    <w:p w:rsidR="002931CE" w:rsidRDefault="00AF42C6">
      <w:pPr>
        <w:numPr>
          <w:ilvl w:val="0"/>
          <w:numId w:val="3"/>
        </w:numPr>
        <w:contextualSpacing/>
      </w:pPr>
      <w:r>
        <w:t xml:space="preserve">CUS: </w:t>
      </w:r>
      <w:proofErr w:type="spellStart"/>
      <w:r>
        <w:t>Customer</w:t>
      </w:r>
      <w:proofErr w:type="spellEnd"/>
      <w:r>
        <w:t xml:space="preserve"> - </w:t>
      </w:r>
      <w:proofErr w:type="spellStart"/>
      <w:r>
        <w:t>Supplier</w:t>
      </w:r>
      <w:proofErr w:type="spellEnd"/>
      <w:r>
        <w:t>: procesos que impactan directamente al cliente (interno o externo).</w:t>
      </w:r>
    </w:p>
    <w:p w:rsidR="002931CE" w:rsidRDefault="00AF42C6">
      <w:pPr>
        <w:numPr>
          <w:ilvl w:val="0"/>
          <w:numId w:val="3"/>
        </w:numPr>
        <w:contextualSpacing/>
      </w:pPr>
      <w:r>
        <w:t xml:space="preserve">ENG: </w:t>
      </w:r>
      <w:proofErr w:type="spellStart"/>
      <w:r>
        <w:t>Engineering</w:t>
      </w:r>
      <w:proofErr w:type="spellEnd"/>
      <w:r>
        <w:t>: procesos que directamente especifican, implementan o mantienen un sistema, su producto de software y documentación de usuario.</w:t>
      </w:r>
    </w:p>
    <w:p w:rsidR="002931CE" w:rsidRDefault="00AF42C6">
      <w:pPr>
        <w:numPr>
          <w:ilvl w:val="0"/>
          <w:numId w:val="3"/>
        </w:numPr>
        <w:contextualSpacing/>
      </w:pPr>
      <w:r>
        <w:t xml:space="preserve">PRO: Project </w:t>
      </w:r>
      <w:proofErr w:type="spellStart"/>
      <w:r>
        <w:t>Process</w:t>
      </w:r>
      <w:proofErr w:type="spellEnd"/>
      <w:r>
        <w:t>: establecen el proyecto, coordinan sus recursos para realizar un producto que satisfaga al usuario.</w:t>
      </w:r>
    </w:p>
    <w:p w:rsidR="002931CE" w:rsidRDefault="00AF42C6">
      <w:pPr>
        <w:numPr>
          <w:ilvl w:val="0"/>
          <w:numId w:val="3"/>
        </w:numPr>
        <w:contextualSpacing/>
      </w:pPr>
      <w:r>
        <w:t xml:space="preserve">SUP: </w:t>
      </w:r>
      <w:proofErr w:type="spellStart"/>
      <w:r>
        <w:t>Support</w:t>
      </w:r>
      <w:proofErr w:type="spellEnd"/>
      <w:r>
        <w:t>: procesos que podrían ser empleados por otros, en varios ciclos de vida, por parte de la organización, el cliente u otra organización.</w:t>
      </w:r>
    </w:p>
    <w:p w:rsidR="002931CE" w:rsidRDefault="00AF42C6">
      <w:pPr>
        <w:numPr>
          <w:ilvl w:val="0"/>
          <w:numId w:val="3"/>
        </w:numPr>
        <w:contextualSpacing/>
      </w:pPr>
      <w:r>
        <w:t xml:space="preserve">ORG: </w:t>
      </w:r>
      <w:proofErr w:type="spellStart"/>
      <w:r>
        <w:t>Organization</w:t>
      </w:r>
      <w:proofErr w:type="spellEnd"/>
      <w:r>
        <w:t>: establecen los objetivos de negocio, y desarrollan procesos, productos o recursos, y cuando son utilizados en proyectos, ayudarán a lograr el objetivo.</w:t>
      </w:r>
    </w:p>
    <w:p w:rsidR="002931CE" w:rsidRDefault="002931CE">
      <w:pPr>
        <w:ind w:firstLine="0"/>
      </w:pPr>
    </w:p>
    <w:p w:rsidR="002931CE" w:rsidRDefault="00AF42C6">
      <w:pPr>
        <w:ind w:firstLine="0"/>
        <w:jc w:val="center"/>
      </w:pPr>
      <w:r>
        <w:rPr>
          <w:noProof/>
          <w:lang w:val="en-US"/>
        </w:rPr>
        <w:drawing>
          <wp:inline distT="114300" distB="114300" distL="114300" distR="114300">
            <wp:extent cx="2162493" cy="14478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l="20146" t="9528" r="22385" b="22528"/>
                    <a:stretch>
                      <a:fillRect/>
                    </a:stretch>
                  </pic:blipFill>
                  <pic:spPr>
                    <a:xfrm>
                      <a:off x="0" y="0"/>
                      <a:ext cx="2162493" cy="1447800"/>
                    </a:xfrm>
                    <a:prstGeom prst="rect">
                      <a:avLst/>
                    </a:prstGeom>
                    <a:ln/>
                  </pic:spPr>
                </pic:pic>
              </a:graphicData>
            </a:graphic>
          </wp:inline>
        </w:drawing>
      </w:r>
    </w:p>
    <w:p w:rsidR="002931CE" w:rsidRDefault="00AF42C6">
      <w:pPr>
        <w:ind w:firstLine="0"/>
        <w:jc w:val="center"/>
      </w:pPr>
      <w:r>
        <w:t>Figura 3. Interrelación entre las categorías de procesos.</w:t>
      </w:r>
    </w:p>
    <w:p w:rsidR="002931CE" w:rsidRDefault="002931CE">
      <w:pPr>
        <w:ind w:firstLine="0"/>
      </w:pPr>
    </w:p>
    <w:p w:rsidR="002931CE" w:rsidRDefault="0065768F">
      <w:pPr>
        <w:pStyle w:val="Ttulo1"/>
      </w:pPr>
      <w:bookmarkStart w:id="10" w:name="_gnz6pxjdh5uo" w:colFirst="0" w:colLast="0"/>
      <w:bookmarkEnd w:id="10"/>
      <w:r>
        <w:t>10</w:t>
      </w:r>
      <w:r w:rsidR="00AF42C6">
        <w:tab/>
        <w:t>Arquitectura</w:t>
      </w:r>
    </w:p>
    <w:p w:rsidR="002931CE" w:rsidRDefault="002931CE"/>
    <w:p w:rsidR="002931CE" w:rsidRDefault="00AF42C6">
      <w:r>
        <w:lastRenderedPageBreak/>
        <w:t>La misma facilita la evaluación de procesos de software para poder realizar juicios y recomendaciones respecto a las mejoras.</w:t>
      </w:r>
    </w:p>
    <w:p w:rsidR="002931CE" w:rsidRDefault="00AF42C6">
      <w:pPr>
        <w:numPr>
          <w:ilvl w:val="0"/>
          <w:numId w:val="12"/>
        </w:numPr>
        <w:contextualSpacing/>
      </w:pPr>
      <w:r>
        <w:t>Por tipo de actividad: categoría de procesos, procesos y prácticas base.</w:t>
      </w:r>
    </w:p>
    <w:p w:rsidR="002931CE" w:rsidRDefault="00AF42C6">
      <w:pPr>
        <w:numPr>
          <w:ilvl w:val="0"/>
          <w:numId w:val="12"/>
        </w:numPr>
        <w:contextualSpacing/>
      </w:pPr>
      <w:r>
        <w:t>Por tipo de implementación: niveles de capacidad, características comunes y prácticas genéricas. Estas prácticas ayudarán a gestionar los procesos para poder mejorar su capacidad y de esta forma lograr los objetivos propuestos.</w:t>
      </w:r>
    </w:p>
    <w:p w:rsidR="002931CE" w:rsidRDefault="002931CE">
      <w:pPr>
        <w:ind w:firstLine="0"/>
      </w:pPr>
    </w:p>
    <w:p w:rsidR="002931CE" w:rsidRDefault="00AF42C6">
      <w:pPr>
        <w:ind w:firstLine="0"/>
        <w:jc w:val="center"/>
      </w:pPr>
      <w:r>
        <w:rPr>
          <w:noProof/>
          <w:lang w:val="en-US"/>
        </w:rPr>
        <w:drawing>
          <wp:inline distT="114300" distB="114300" distL="114300" distR="114300">
            <wp:extent cx="2042795" cy="214326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l="28696" t="15204" r="31294" b="13149"/>
                    <a:stretch>
                      <a:fillRect/>
                    </a:stretch>
                  </pic:blipFill>
                  <pic:spPr>
                    <a:xfrm>
                      <a:off x="0" y="0"/>
                      <a:ext cx="2042795" cy="2143260"/>
                    </a:xfrm>
                    <a:prstGeom prst="rect">
                      <a:avLst/>
                    </a:prstGeom>
                    <a:ln/>
                  </pic:spPr>
                </pic:pic>
              </a:graphicData>
            </a:graphic>
          </wp:inline>
        </w:drawing>
      </w:r>
    </w:p>
    <w:p w:rsidR="002931CE" w:rsidRDefault="00AF42C6">
      <w:pPr>
        <w:ind w:firstLine="0"/>
        <w:jc w:val="center"/>
      </w:pPr>
      <w:r>
        <w:t>Figura 4. Modelo de arquitectura.</w:t>
      </w:r>
    </w:p>
    <w:p w:rsidR="002931CE" w:rsidRDefault="002931CE">
      <w:pPr>
        <w:ind w:firstLine="0"/>
      </w:pPr>
    </w:p>
    <w:p w:rsidR="002931CE" w:rsidRDefault="0065768F">
      <w:pPr>
        <w:pStyle w:val="Ttulo1"/>
      </w:pPr>
      <w:bookmarkStart w:id="11" w:name="_ghwf6zyv42u6" w:colFirst="0" w:colLast="0"/>
      <w:bookmarkEnd w:id="11"/>
      <w:r>
        <w:t>11</w:t>
      </w:r>
      <w:r w:rsidR="00AF42C6">
        <w:tab/>
        <w:t>¿Qué métodos de evaluación provee?</w:t>
      </w:r>
    </w:p>
    <w:p w:rsidR="002931CE" w:rsidRDefault="002931CE"/>
    <w:p w:rsidR="002931CE" w:rsidRDefault="0065768F">
      <w:pPr>
        <w:pStyle w:val="Ttulo2"/>
        <w:ind w:left="0" w:firstLine="0"/>
      </w:pPr>
      <w:bookmarkStart w:id="12" w:name="_m5wneg8a7fk" w:colFirst="0" w:colLast="0"/>
      <w:bookmarkEnd w:id="12"/>
      <w:r>
        <w:t>11</w:t>
      </w:r>
      <w:r w:rsidR="00AF42C6">
        <w:t>.1</w:t>
      </w:r>
      <w:r w:rsidR="00AF42C6">
        <w:tab/>
        <w:t>Métodos por niveles de madurez y por niveles de capacidad</w:t>
      </w:r>
    </w:p>
    <w:p w:rsidR="002931CE" w:rsidRDefault="002931CE"/>
    <w:p w:rsidR="002931CE" w:rsidRDefault="00AF42C6">
      <w:r>
        <w:t>Existen dos métodos principales de evaluación:</w:t>
      </w:r>
    </w:p>
    <w:p w:rsidR="002931CE" w:rsidRDefault="00AF42C6">
      <w:pPr>
        <w:numPr>
          <w:ilvl w:val="0"/>
          <w:numId w:val="5"/>
        </w:numPr>
        <w:contextualSpacing/>
      </w:pPr>
      <w:r>
        <w:t>Evaluación por niveles de madurez, donde la organización mejora sus procesos obteniendo una puntuación cuyo alcance es la organización (departamento, proyecto, etc.)</w:t>
      </w:r>
    </w:p>
    <w:p w:rsidR="002931CE" w:rsidRDefault="00AF42C6">
      <w:pPr>
        <w:numPr>
          <w:ilvl w:val="0"/>
          <w:numId w:val="5"/>
        </w:numPr>
        <w:contextualSpacing/>
      </w:pPr>
      <w:r>
        <w:t>Evaluación por niveles de capacidad, donde la organización obtiene una puntuación a nivel de proceso (gestión de requisitos, planificación de proyectos, etc.).</w:t>
      </w:r>
    </w:p>
    <w:p w:rsidR="002931CE" w:rsidRDefault="00AF42C6">
      <w:r>
        <w:t>SPICE comenzó utilizando el método de niveles de capacidad pero, ante la creciente necesidad de la industria, incorporó la evaluación por niveles de madurez. [3]</w:t>
      </w:r>
    </w:p>
    <w:p w:rsidR="002931CE" w:rsidRDefault="002931CE"/>
    <w:p w:rsidR="002931CE" w:rsidRDefault="0065768F">
      <w:pPr>
        <w:pStyle w:val="Ttulo2"/>
        <w:ind w:left="0" w:firstLine="0"/>
      </w:pPr>
      <w:bookmarkStart w:id="13" w:name="_zis8oeh0sob" w:colFirst="0" w:colLast="0"/>
      <w:bookmarkEnd w:id="13"/>
      <w:r>
        <w:t>11</w:t>
      </w:r>
      <w:r w:rsidR="00AF42C6">
        <w:t>.2</w:t>
      </w:r>
      <w:r w:rsidR="00AF42C6">
        <w:tab/>
        <w:t>Método de evaluación por niveles de madurez</w:t>
      </w:r>
    </w:p>
    <w:p w:rsidR="002931CE" w:rsidRDefault="002931CE"/>
    <w:p w:rsidR="002931CE" w:rsidRDefault="00AF42C6">
      <w:r>
        <w:t>Se evalúa la madurez de la organización, sobre la base de los perfiles evaluados de la capacidad del proceso, y condiciones en las que estas evaluaciones son válidas.</w:t>
      </w:r>
    </w:p>
    <w:p w:rsidR="002931CE" w:rsidRDefault="00AF42C6">
      <w:r>
        <w:t xml:space="preserve">Para que una organización pueda alcanzar un nivel de madurez debe evaluarse frente a la norma ISO/IEC </w:t>
      </w:r>
      <w:r>
        <w:t xml:space="preserve">15504. Existen tres clases de evaluaciones, clase 1, clase 2 y clase 3. Estas dos últimas se corresponden con evaluaciones internas y no ofrecen una certificación oficial, a diferencia de la clase 1 que es una evaluación más exhaustiva y rigurosa que permite alcanzar una puntuación oficial. </w:t>
      </w:r>
    </w:p>
    <w:p w:rsidR="002931CE" w:rsidRDefault="00AF42C6">
      <w:r>
        <w:t>Para realizar la evaluación se determina el nivel de capacidad de cada uno de los procesos, y una vez obtenidos derivarán en el nivel de madurez, de acuerdo a unas reglas de derivación establecidas en la norma.</w:t>
      </w:r>
    </w:p>
    <w:p w:rsidR="002931CE" w:rsidRDefault="00AF42C6">
      <w:r>
        <w:t>La norma ISO/IEC 15504-7 establece 6 niveles de madurez para clasificar a las organizaciones:</w:t>
      </w:r>
    </w:p>
    <w:p w:rsidR="002931CE" w:rsidRDefault="002931CE">
      <w:pPr>
        <w:ind w:firstLine="0"/>
      </w:pPr>
    </w:p>
    <w:p w:rsidR="002931CE" w:rsidRDefault="00AF42C6">
      <w:pPr>
        <w:ind w:firstLine="0"/>
        <w:jc w:val="center"/>
      </w:pPr>
      <w:r>
        <w:rPr>
          <w:noProof/>
          <w:lang w:val="en-US"/>
        </w:rPr>
        <w:drawing>
          <wp:inline distT="114300" distB="114300" distL="114300" distR="114300">
            <wp:extent cx="3080445" cy="187166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080445" cy="1871663"/>
                    </a:xfrm>
                    <a:prstGeom prst="rect">
                      <a:avLst/>
                    </a:prstGeom>
                    <a:ln/>
                  </pic:spPr>
                </pic:pic>
              </a:graphicData>
            </a:graphic>
          </wp:inline>
        </w:drawing>
      </w:r>
    </w:p>
    <w:p w:rsidR="002931CE" w:rsidRDefault="00AF42C6">
      <w:pPr>
        <w:ind w:firstLine="0"/>
        <w:jc w:val="center"/>
      </w:pPr>
      <w:r>
        <w:t>Figura 5. Niveles de madurez.</w:t>
      </w:r>
    </w:p>
    <w:p w:rsidR="002931CE" w:rsidRDefault="002931CE">
      <w:pPr>
        <w:ind w:firstLine="0"/>
      </w:pPr>
    </w:p>
    <w:p w:rsidR="002931CE" w:rsidRDefault="00AF42C6">
      <w:pPr>
        <w:numPr>
          <w:ilvl w:val="0"/>
          <w:numId w:val="9"/>
        </w:numPr>
        <w:contextualSpacing/>
      </w:pPr>
      <w:r>
        <w:t>Inmadura: La organización no tiene implementación efectiva de los procesos.</w:t>
      </w:r>
    </w:p>
    <w:p w:rsidR="002931CE" w:rsidRDefault="00AF42C6">
      <w:pPr>
        <w:numPr>
          <w:ilvl w:val="0"/>
          <w:numId w:val="9"/>
        </w:numPr>
        <w:contextualSpacing/>
      </w:pPr>
      <w:r>
        <w:t>Básica: La organización implementa y alcanza los objetivos de los procesos.</w:t>
      </w:r>
    </w:p>
    <w:p w:rsidR="002931CE" w:rsidRDefault="00AF42C6">
      <w:pPr>
        <w:numPr>
          <w:ilvl w:val="0"/>
          <w:numId w:val="9"/>
        </w:numPr>
        <w:contextualSpacing/>
      </w:pPr>
      <w:r>
        <w:t>Gestionada: La organización gestiona los procesos y los productos resultantes se establecen, controlan y mantienen.</w:t>
      </w:r>
    </w:p>
    <w:p w:rsidR="002931CE" w:rsidRDefault="00AF42C6">
      <w:pPr>
        <w:numPr>
          <w:ilvl w:val="0"/>
          <w:numId w:val="9"/>
        </w:numPr>
        <w:contextualSpacing/>
      </w:pPr>
      <w:r>
        <w:t>Establecida: La organización utiliza procesos definidos basados en estándares.</w:t>
      </w:r>
    </w:p>
    <w:p w:rsidR="002931CE" w:rsidRDefault="00AF42C6">
      <w:pPr>
        <w:numPr>
          <w:ilvl w:val="0"/>
          <w:numId w:val="9"/>
        </w:numPr>
        <w:contextualSpacing/>
      </w:pPr>
      <w:r>
        <w:t>Predecible: La organización gestiona cuantitativamente los procesos.</w:t>
      </w:r>
    </w:p>
    <w:p w:rsidR="002931CE" w:rsidRDefault="00AF42C6">
      <w:pPr>
        <w:numPr>
          <w:ilvl w:val="0"/>
          <w:numId w:val="9"/>
        </w:numPr>
        <w:contextualSpacing/>
      </w:pPr>
      <w:r>
        <w:t>Optimizado: La organización mejora continuamente los procesos para cumplir los objetivos de negocio. [4]</w:t>
      </w:r>
    </w:p>
    <w:p w:rsidR="002931CE" w:rsidRDefault="002931CE"/>
    <w:p w:rsidR="002931CE" w:rsidRDefault="00AF42C6">
      <w:r>
        <w:t>Sommerville destaca que hay partidarios escépticos sobre el enfoque de madurez de procesos y el enfoque ágil, en lo que implica reconocer los beneficios de uno u otro enfoque. El enfoque de madurez de proceso se basa en el desarrollo orientado por un plan y requiere “aumento de sobrecarga”, ya que se introducen actividades no relevantes para la programación. En cambio, los ágiles se centran en el código a desarrollar y minimizan las formalidades, reduciendo sobrecargas y enfocándose en entregar rápidamente funcionalidad, y la capacidad de respuesta ante los requerimientos cambiantes. [5]</w:t>
      </w:r>
      <w:r>
        <w:tab/>
      </w:r>
    </w:p>
    <w:p w:rsidR="002931CE" w:rsidRDefault="002931CE">
      <w:pPr>
        <w:pStyle w:val="Ttulo2"/>
        <w:ind w:left="0" w:firstLine="0"/>
      </w:pPr>
      <w:bookmarkStart w:id="14" w:name="_r7uywon75sj3" w:colFirst="0" w:colLast="0"/>
      <w:bookmarkEnd w:id="14"/>
    </w:p>
    <w:p w:rsidR="002931CE" w:rsidRDefault="0065768F">
      <w:pPr>
        <w:pStyle w:val="Ttulo2"/>
        <w:ind w:left="0" w:firstLine="0"/>
      </w:pPr>
      <w:bookmarkStart w:id="15" w:name="_rm1bow6jpe2w" w:colFirst="0" w:colLast="0"/>
      <w:bookmarkEnd w:id="15"/>
      <w:r>
        <w:t>11</w:t>
      </w:r>
      <w:r w:rsidR="00AF42C6">
        <w:t>.3</w:t>
      </w:r>
      <w:r w:rsidR="00AF42C6">
        <w:tab/>
        <w:t>Método de evaluación por niveles de capacidad</w:t>
      </w:r>
    </w:p>
    <w:p w:rsidR="002931CE" w:rsidRDefault="002931CE">
      <w:pPr>
        <w:ind w:firstLine="0"/>
      </w:pPr>
    </w:p>
    <w:p w:rsidR="002931CE" w:rsidRDefault="00AF42C6">
      <w:r>
        <w:lastRenderedPageBreak/>
        <w:t xml:space="preserve">SPICE tiene una arquitectura basada en dos dimensiones: de proceso y de capacidad de proceso. Define que todo modelo de evaluación de procesos debe determinar: </w:t>
      </w:r>
    </w:p>
    <w:p w:rsidR="002931CE" w:rsidRDefault="00AF42C6">
      <w:pPr>
        <w:numPr>
          <w:ilvl w:val="0"/>
          <w:numId w:val="1"/>
        </w:numPr>
        <w:contextualSpacing/>
      </w:pPr>
      <w:r>
        <w:t>La dimensión de procesos: el modelo de procesos de referencia (dimensión de las abscisas). Incluye las categorías de procesos anteriormente mencionadas.</w:t>
      </w:r>
    </w:p>
    <w:p w:rsidR="002931CE" w:rsidRDefault="00AF42C6">
      <w:pPr>
        <w:numPr>
          <w:ilvl w:val="0"/>
          <w:numId w:val="1"/>
        </w:numPr>
        <w:contextualSpacing/>
      </w:pPr>
      <w:r>
        <w:t>La dimensión de la capacidad: niveles de capacidad y atributos de los procesos. Los niveles de capacidad para todo modelo de evaluación de procesos pueden tener desde el 0 y por lo menos hasta el nivel 1 de los siguientes niveles de capacidad estándar:</w:t>
      </w:r>
    </w:p>
    <w:p w:rsidR="002931CE" w:rsidRDefault="002931CE">
      <w:pPr>
        <w:ind w:firstLine="0"/>
      </w:pPr>
    </w:p>
    <w:p w:rsidR="002931CE" w:rsidRDefault="00AF42C6">
      <w:pPr>
        <w:ind w:firstLine="0"/>
        <w:jc w:val="center"/>
      </w:pPr>
      <w:r>
        <w:rPr>
          <w:noProof/>
          <w:lang w:val="en-US"/>
        </w:rPr>
        <w:drawing>
          <wp:inline distT="114300" distB="114300" distL="114300" distR="114300">
            <wp:extent cx="2895600" cy="20574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895600" cy="2057400"/>
                    </a:xfrm>
                    <a:prstGeom prst="rect">
                      <a:avLst/>
                    </a:prstGeom>
                    <a:ln/>
                  </pic:spPr>
                </pic:pic>
              </a:graphicData>
            </a:graphic>
          </wp:inline>
        </w:drawing>
      </w:r>
    </w:p>
    <w:p w:rsidR="002931CE" w:rsidRDefault="00AF42C6">
      <w:pPr>
        <w:ind w:firstLine="0"/>
        <w:jc w:val="center"/>
      </w:pPr>
      <w:r>
        <w:t>Figura 6. Niveles de capacidad.</w:t>
      </w:r>
    </w:p>
    <w:p w:rsidR="002931CE" w:rsidRDefault="002931CE">
      <w:pPr>
        <w:ind w:left="720" w:firstLine="0"/>
      </w:pPr>
    </w:p>
    <w:p w:rsidR="002931CE" w:rsidRDefault="00AF42C6">
      <w:r>
        <w:t>Para cada nivel existen unos atributos de procesos estándar que ayudan a evaluar los niveles de capacidad.</w:t>
      </w:r>
    </w:p>
    <w:p w:rsidR="002931CE" w:rsidRDefault="002931CE">
      <w:pPr>
        <w:ind w:firstLine="0"/>
      </w:pPr>
    </w:p>
    <w:p w:rsidR="002931CE" w:rsidRDefault="00AF42C6">
      <w:pPr>
        <w:numPr>
          <w:ilvl w:val="0"/>
          <w:numId w:val="6"/>
        </w:numPr>
        <w:contextualSpacing/>
      </w:pPr>
      <w:r>
        <w:t>Nivel incompleto = responde a la falta de cumplimiento del proceso.</w:t>
      </w:r>
    </w:p>
    <w:p w:rsidR="002931CE" w:rsidRDefault="00AF42C6">
      <w:pPr>
        <w:numPr>
          <w:ilvl w:val="0"/>
          <w:numId w:val="6"/>
        </w:numPr>
        <w:contextualSpacing/>
      </w:pPr>
      <w:r>
        <w:t>Nivel realizado = genera los productos de trabajo esperados.</w:t>
      </w:r>
    </w:p>
    <w:p w:rsidR="002931CE" w:rsidRDefault="00AF42C6">
      <w:pPr>
        <w:numPr>
          <w:ilvl w:val="0"/>
          <w:numId w:val="6"/>
        </w:numPr>
        <w:contextualSpacing/>
      </w:pPr>
      <w:r>
        <w:t>Nivel administrado = proceso y productos administrados y controlados.</w:t>
      </w:r>
    </w:p>
    <w:p w:rsidR="002931CE" w:rsidRDefault="00AF42C6">
      <w:pPr>
        <w:numPr>
          <w:ilvl w:val="0"/>
          <w:numId w:val="6"/>
        </w:numPr>
        <w:contextualSpacing/>
      </w:pPr>
      <w:r>
        <w:t>Nivel establecido = proceso definido para la organización y utilizado adecuadamente.</w:t>
      </w:r>
    </w:p>
    <w:p w:rsidR="002931CE" w:rsidRDefault="00AF42C6">
      <w:pPr>
        <w:numPr>
          <w:ilvl w:val="0"/>
          <w:numId w:val="6"/>
        </w:numPr>
        <w:contextualSpacing/>
      </w:pPr>
      <w:r>
        <w:t xml:space="preserve">Nivel predecible </w:t>
      </w:r>
      <w:proofErr w:type="gramStart"/>
      <w:r>
        <w:t>=  El</w:t>
      </w:r>
      <w:proofErr w:type="gramEnd"/>
      <w:r>
        <w:t xml:space="preserve"> proceso opera dentro de los límites estadísticos establecidos.</w:t>
      </w:r>
    </w:p>
    <w:p w:rsidR="002931CE" w:rsidRDefault="00AF42C6">
      <w:pPr>
        <w:numPr>
          <w:ilvl w:val="0"/>
          <w:numId w:val="6"/>
        </w:numPr>
        <w:contextualSpacing/>
      </w:pPr>
      <w:r>
        <w:t>Nivel optimizado = el proceso mejora continuamente.</w:t>
      </w:r>
    </w:p>
    <w:p w:rsidR="002931CE" w:rsidRDefault="002931CE"/>
    <w:p w:rsidR="002931CE" w:rsidRDefault="0065768F">
      <w:pPr>
        <w:pStyle w:val="Ttulo1"/>
      </w:pPr>
      <w:bookmarkStart w:id="16" w:name="_sgsljj6qsmtz" w:colFirst="0" w:colLast="0"/>
      <w:bookmarkEnd w:id="16"/>
      <w:r>
        <w:t>12</w:t>
      </w:r>
      <w:r w:rsidR="00AF42C6">
        <w:tab/>
        <w:t>¿Qué ventajas y desventajas provee?</w:t>
      </w:r>
    </w:p>
    <w:p w:rsidR="002931CE" w:rsidRDefault="002931CE">
      <w:pPr>
        <w:ind w:firstLine="0"/>
      </w:pPr>
    </w:p>
    <w:p w:rsidR="002931CE" w:rsidRDefault="0065768F">
      <w:pPr>
        <w:pStyle w:val="Ttulo2"/>
        <w:ind w:left="0" w:firstLine="0"/>
      </w:pPr>
      <w:bookmarkStart w:id="17" w:name="_k3legpds0s6w" w:colFirst="0" w:colLast="0"/>
      <w:bookmarkEnd w:id="17"/>
      <w:r>
        <w:t>12</w:t>
      </w:r>
      <w:r w:rsidR="00AF42C6">
        <w:t>.1</w:t>
      </w:r>
      <w:r w:rsidR="00AF42C6">
        <w:tab/>
        <w:t>Ventajas</w:t>
      </w:r>
    </w:p>
    <w:p w:rsidR="002931CE" w:rsidRDefault="002931CE"/>
    <w:p w:rsidR="002931CE" w:rsidRDefault="00AF42C6">
      <w:pPr>
        <w:numPr>
          <w:ilvl w:val="0"/>
          <w:numId w:val="2"/>
        </w:numPr>
        <w:contextualSpacing/>
      </w:pPr>
      <w:r>
        <w:t>Pueden contar con una norma ISO, internacional y abierta.</w:t>
      </w:r>
    </w:p>
    <w:p w:rsidR="002931CE" w:rsidRDefault="00AF42C6">
      <w:pPr>
        <w:numPr>
          <w:ilvl w:val="0"/>
          <w:numId w:val="2"/>
        </w:numPr>
        <w:contextualSpacing/>
      </w:pPr>
      <w:r>
        <w:t>En España, el modelo cuenta con el respaldo del Ministerio de Industria de España ya que existen ayudas para la certificación de las PYMES.</w:t>
      </w:r>
    </w:p>
    <w:p w:rsidR="002931CE" w:rsidRDefault="00AF42C6">
      <w:pPr>
        <w:numPr>
          <w:ilvl w:val="0"/>
          <w:numId w:val="2"/>
        </w:numPr>
        <w:contextualSpacing/>
      </w:pPr>
      <w:r>
        <w:t>Agilidad, existen guías pensadas para Pymes y pequeños equipos de desarrollo, con las que numerosas empresas se han certificado usando metodologías ágiles como SCRUM.</w:t>
      </w:r>
    </w:p>
    <w:p w:rsidR="002931CE" w:rsidRDefault="00AF42C6">
      <w:pPr>
        <w:numPr>
          <w:ilvl w:val="0"/>
          <w:numId w:val="2"/>
        </w:numPr>
        <w:contextualSpacing/>
      </w:pPr>
      <w:r>
        <w:t xml:space="preserve">Utiliza un modelo de buenas prácticas actualizado y específico de desarrollo software (ISO 12207:2008). </w:t>
      </w:r>
    </w:p>
    <w:p w:rsidR="002931CE" w:rsidRDefault="00AF42C6">
      <w:pPr>
        <w:numPr>
          <w:ilvl w:val="0"/>
          <w:numId w:val="2"/>
        </w:numPr>
        <w:contextualSpacing/>
      </w:pPr>
      <w:r>
        <w:t>Evalúa por niveles de madurez, la evaluación más extendida entre los modelos de mejora.</w:t>
      </w:r>
    </w:p>
    <w:p w:rsidR="002931CE" w:rsidRDefault="00AF42C6">
      <w:pPr>
        <w:numPr>
          <w:ilvl w:val="0"/>
          <w:numId w:val="2"/>
        </w:numPr>
        <w:contextualSpacing/>
      </w:pPr>
      <w:r>
        <w:t>Normalmente, tiene un menor coste de certificación que otros modelos similares (Ver Informe de INTECO).</w:t>
      </w:r>
    </w:p>
    <w:p w:rsidR="002931CE" w:rsidRDefault="00AF42C6">
      <w:pPr>
        <w:numPr>
          <w:ilvl w:val="0"/>
          <w:numId w:val="2"/>
        </w:numPr>
        <w:contextualSpacing/>
      </w:pPr>
      <w:r>
        <w:t>Es aplicable a todo el ciclo de vida del proyecto.</w:t>
      </w:r>
    </w:p>
    <w:p w:rsidR="002931CE" w:rsidRDefault="00AF42C6">
      <w:pPr>
        <w:numPr>
          <w:ilvl w:val="0"/>
          <w:numId w:val="2"/>
        </w:numPr>
        <w:contextualSpacing/>
      </w:pPr>
      <w:r>
        <w:t>La guía es aplicable a distintos modelos de ciclos de vida del software o métodos de desarrollo de software; para distintas necesidades de negocio y dominios de aplicación, e incluso no especifica un tamaño de organización para el cual sea adecuado, sino que simplemente puede ser utilizada por cualquier tipo de organización.</w:t>
      </w:r>
    </w:p>
    <w:p w:rsidR="002931CE" w:rsidRDefault="002931CE"/>
    <w:p w:rsidR="002931CE" w:rsidRDefault="0065768F">
      <w:pPr>
        <w:pStyle w:val="Ttulo2"/>
        <w:ind w:left="0" w:firstLine="0"/>
      </w:pPr>
      <w:bookmarkStart w:id="18" w:name="_bc3ybli51c3" w:colFirst="0" w:colLast="0"/>
      <w:bookmarkEnd w:id="18"/>
      <w:r>
        <w:t>12</w:t>
      </w:r>
      <w:r w:rsidR="00AF42C6">
        <w:t>.2</w:t>
      </w:r>
      <w:r w:rsidR="00AF42C6">
        <w:tab/>
        <w:t>Desventajas</w:t>
      </w:r>
    </w:p>
    <w:p w:rsidR="002931CE" w:rsidRDefault="002931CE"/>
    <w:p w:rsidR="002931CE" w:rsidRDefault="00AF42C6">
      <w:pPr>
        <w:numPr>
          <w:ilvl w:val="0"/>
          <w:numId w:val="7"/>
        </w:numPr>
        <w:contextualSpacing/>
      </w:pPr>
      <w:r>
        <w:t>ISO/IEC TR-15504 permite que el dominio de procesos sea tan amplio para abarcar todos los posibles ciclos de vida, pero hace difícil que todos los atributos de proceso sean universales, provocando dificultad y confusión durante la evaluación.</w:t>
      </w:r>
    </w:p>
    <w:p w:rsidR="002931CE" w:rsidRDefault="00AF42C6">
      <w:pPr>
        <w:numPr>
          <w:ilvl w:val="0"/>
          <w:numId w:val="7"/>
        </w:numPr>
        <w:contextualSpacing/>
      </w:pPr>
      <w:r>
        <w:t>Poco reconocimiento en el mercado Norteamericano.</w:t>
      </w:r>
    </w:p>
    <w:p w:rsidR="002931CE" w:rsidRDefault="002931CE">
      <w:pPr>
        <w:ind w:firstLine="0"/>
      </w:pPr>
    </w:p>
    <w:p w:rsidR="002931CE" w:rsidRDefault="0065768F">
      <w:pPr>
        <w:pStyle w:val="Ttulo1"/>
        <w:ind w:firstLine="0"/>
      </w:pPr>
      <w:bookmarkStart w:id="19" w:name="_1osaa0kxr5jt" w:colFirst="0" w:colLast="0"/>
      <w:bookmarkEnd w:id="19"/>
      <w:r>
        <w:t>13</w:t>
      </w:r>
      <w:r w:rsidR="00AF42C6">
        <w:tab/>
        <w:t>Vinculación con otros estándares internacionales</w:t>
      </w:r>
    </w:p>
    <w:p w:rsidR="002931CE" w:rsidRDefault="002931CE"/>
    <w:p w:rsidR="002931CE" w:rsidRDefault="00AF42C6">
      <w:r>
        <w:t>Esta norma incorpora la intención de la ISO 9001 de brindar confianza respecto a la gestión de calidad del proveedor, y también un marco para el adquirente, para poder evaluar si el proveedor satisface sus necesidades. [7]</w:t>
      </w:r>
    </w:p>
    <w:p w:rsidR="002931CE" w:rsidRDefault="00AF42C6">
      <w:r>
        <w:t xml:space="preserve">La diferencia que posee con el estándar ISO 9001, es que no utiliza la característica de “aprobado/reprobado” de las auditorías de </w:t>
      </w:r>
      <w:proofErr w:type="spellStart"/>
      <w:r>
        <w:t>de</w:t>
      </w:r>
      <w:proofErr w:type="spellEnd"/>
      <w:r>
        <w:t xml:space="preserve"> calidad basadas en ese estándar, sino que proporciona al usuario la posibilidad de evaluar al proceso mediante una escala continua, de manera comparable y repetible. </w:t>
      </w:r>
    </w:p>
    <w:p w:rsidR="002931CE" w:rsidRDefault="00AF42C6">
      <w:r>
        <w:t>También se basa en el modelo de madurez de CMMI, con los niveles anteriormente nombrados.</w:t>
      </w:r>
    </w:p>
    <w:p w:rsidR="002931CE" w:rsidRDefault="002931CE">
      <w:pPr>
        <w:ind w:firstLine="0"/>
      </w:pPr>
    </w:p>
    <w:p w:rsidR="002931CE" w:rsidRDefault="0065768F">
      <w:pPr>
        <w:pStyle w:val="Ttulo1"/>
        <w:ind w:firstLine="0"/>
      </w:pPr>
      <w:bookmarkStart w:id="20" w:name="_flst85rav7oe" w:colFirst="0" w:colLast="0"/>
      <w:bookmarkEnd w:id="20"/>
      <w:r>
        <w:t>14</w:t>
      </w:r>
      <w:r w:rsidR="00AF42C6">
        <w:tab/>
        <w:t>Conclusiones</w:t>
      </w:r>
    </w:p>
    <w:p w:rsidR="002931CE" w:rsidRDefault="002931CE"/>
    <w:p w:rsidR="002931CE" w:rsidRDefault="00AF42C6">
      <w:r>
        <w:t xml:space="preserve">SPICE tiene una </w:t>
      </w:r>
      <w:proofErr w:type="spellStart"/>
      <w:r>
        <w:t>basta</w:t>
      </w:r>
      <w:proofErr w:type="spellEnd"/>
      <w:r>
        <w:t xml:space="preserve"> importancia en lo que respecta a la evaluación y mejora de los procesos de desarrollo y </w:t>
      </w:r>
      <w:proofErr w:type="gramStart"/>
      <w:r>
        <w:t>mantenimiento  de</w:t>
      </w:r>
      <w:proofErr w:type="gramEnd"/>
      <w:r>
        <w:t xml:space="preserve"> software ya que lo pueden implementar desde pequeñas hasta grandes empresas. También cabe destacar que es muy utilizada con metodologías ágiles, donde SCRUM es la que mayor auge posee en el momento.</w:t>
      </w:r>
    </w:p>
    <w:p w:rsidR="002931CE" w:rsidRDefault="00AF42C6">
      <w:r>
        <w:lastRenderedPageBreak/>
        <w:t xml:space="preserve">En 2005 un conjunto de empresas automovilísticas   como AUDI, Daimler, Fiat, Ford, Jaguar, BMW, </w:t>
      </w:r>
      <w:proofErr w:type="spellStart"/>
      <w:r>
        <w:t>Land</w:t>
      </w:r>
      <w:proofErr w:type="spellEnd"/>
      <w:r>
        <w:t xml:space="preserve"> Rover, Porsche, Volkswagen y Volvo, crearon un esquema de evaluación específico para procesos software en el contexto de la automoción. A este modelo de evaluación y mejora, basado en la ISO 15504 y la ISO 12207, le llamaron </w:t>
      </w:r>
      <w:hyperlink r:id="rId14">
        <w:r>
          <w:t>Automotive SPICE</w:t>
        </w:r>
      </w:hyperlink>
      <w:r>
        <w:t>.</w:t>
      </w:r>
    </w:p>
    <w:p w:rsidR="002931CE" w:rsidRDefault="00AF42C6">
      <w:r>
        <w:t>Automotive SPICE es hoy todo un estándar de facto en el sector de la automoción, ya que se usa para la evaluación de los proveedores de software en este sector. Pero también lo implantan los clientes, ya que el Automotive SPICE define también un grupo de procesos, denominado ACQ (</w:t>
      </w:r>
      <w:proofErr w:type="spellStart"/>
      <w:r>
        <w:t>Acquisition</w:t>
      </w:r>
      <w:proofErr w:type="spellEnd"/>
      <w:r>
        <w:t xml:space="preserve"> </w:t>
      </w:r>
      <w:proofErr w:type="spellStart"/>
      <w:r>
        <w:t>Process</w:t>
      </w:r>
      <w:proofErr w:type="spellEnd"/>
      <w:r>
        <w:t xml:space="preserve"> </w:t>
      </w:r>
      <w:proofErr w:type="spellStart"/>
      <w:r>
        <w:t>Group</w:t>
      </w:r>
      <w:proofErr w:type="spellEnd"/>
      <w:r>
        <w:t>) para los clientes que han externalizado el desarrollo software. Esto es muy importante, porque permite fortalecer a cada empresa en las características que más necesita, dando lugar a un camino personalizado de mejora.</w:t>
      </w:r>
    </w:p>
    <w:p w:rsidR="002931CE" w:rsidRDefault="00AF42C6">
      <w:r>
        <w:t xml:space="preserve">Los procesos que contempla el Automotive SPICE, no se implantan todos a la vez, los procesos a implantar dependen del nivel que tenga la organización. Estos niveles pueden ser basados en la madurez o capacidad. Generalmente el más utilizado es el de madurez; </w:t>
      </w:r>
      <w:proofErr w:type="gramStart"/>
      <w:r>
        <w:t>este conjunto de empresas utilizaron</w:t>
      </w:r>
      <w:proofErr w:type="gramEnd"/>
      <w:r>
        <w:t xml:space="preserve"> un objetivo con nivel 3 de madurez.</w:t>
      </w:r>
    </w:p>
    <w:p w:rsidR="002931CE" w:rsidRDefault="00AF42C6">
      <w:r>
        <w:t>Entre sus ventajas se encuentra que no existe una diferenciación profunda respecto de la norma ISO/IEC 15504, solo se añadieron algunos procesos adicionales.</w:t>
      </w:r>
    </w:p>
    <w:p w:rsidR="002931CE" w:rsidRDefault="00AF42C6">
      <w:r>
        <w:t>Asimismo, una mejora de procesos permite interiorizar y sistematizar las buenas prácticas habituales en el desarrollo y/o adquisición del software. En este caso los procesos y las buenas prácticas están relacionadas con la industria automotriz. Como resultado de ello se ahorrarán costes, disminuirá el re-trabajo, la rotación del personal. Como proveedor se entregará un software crítico de mayor calidad y como cliente se gestionará de forma más eficiente la adquisición del software.</w:t>
      </w:r>
    </w:p>
    <w:p w:rsidR="002931CE" w:rsidRDefault="00AF42C6">
      <w:r>
        <w:t>Adentrándonos en nuestra asignatura Ingeniería de Software, está claro que no es lo mismo hablar de industria automotriz que industria del software.</w:t>
      </w:r>
    </w:p>
    <w:p w:rsidR="002931CE" w:rsidRDefault="00AF42C6">
      <w:r>
        <w:t>Ya lo aclara Sommerville, que no está de acuerdo con que los resultados de la ingeniería fabril puedan transferirse fácilmente a la ingeniería de software. “Ahí donde la manufactura se incluye, es evidente la relación proceso/producto”. Es decir, para evitar un error y mejorar el proceso, se debe modificar la calibración de las máquinas por ejemplo, y esto se traducirá en la mejora de calidad del proceso. Pero esta relación proceso/producto es menos evidente cuando el producto es intangible, ya que depende de procesos intelectuales que no pueden automatizarse. La calidad la encontramos en las habilidades y experiencia de la gente que trabaja diseñando el software. [6]</w:t>
      </w:r>
    </w:p>
    <w:p w:rsidR="002931CE" w:rsidRDefault="002931CE"/>
    <w:p w:rsidR="002931CE" w:rsidRDefault="00AF42C6">
      <w:r>
        <w:t xml:space="preserve">Para finalizar, SPICE es un modelo genérico, esto quiere decir que nos indica qué hacer, pero no qué procesos realizar. </w:t>
      </w:r>
    </w:p>
    <w:p w:rsidR="002931CE" w:rsidRDefault="00AF42C6">
      <w:r>
        <w:t xml:space="preserve">Si bien en la guía del modelo en cuestión se aclara que se puede aplicar en cualquier tipo de organización, dominio de aplicación, asume que los resultados de la evaluación de procesos son comparables y repetibles </w:t>
      </w:r>
      <w:r>
        <w:t>para contextos similares, lo cual contrasta con los conocimientos que adquirimos durante el cursado, referidos a que hoy en día cada proyecto es una instancia única, irrepetible, en la que los resultados pertenecen al equipo de ese momento, con sus condiciones particulares.</w:t>
      </w:r>
    </w:p>
    <w:p w:rsidR="002931CE" w:rsidRDefault="00AF42C6">
      <w:r>
        <w:t>Todo esto dependerá del tipo de proceso que la organización que desarrolle el software elija, ya que este modelo de calidad como así también sus relacionados (CMMI, ISO), están orientados a los procesos definidos.</w:t>
      </w:r>
    </w:p>
    <w:p w:rsidR="002931CE" w:rsidRDefault="002931CE"/>
    <w:p w:rsidR="002931CE" w:rsidRDefault="00AF42C6">
      <w:r>
        <w:t>El modelo SPICE permite cubrir procesos específicos de las áreas de las empresas, por lo que opinamos que podría ajustarse y acomodarse a los procesos del Departamento de Sistemas y sus subdivisiones, para poder evaluar desde lo particular a lo general la situación de la organización tanto en capacidad de sus procesos como de su nivel de madurez.</w:t>
      </w:r>
    </w:p>
    <w:p w:rsidR="002931CE" w:rsidRDefault="00AF42C6">
      <w:r>
        <w:t>Todo el análisis de resultados permitirá determinar qué riesgos, debilidades y fortalezas son inherentes a tal o cual proceso, y en base a ello poder tomar un curso de acción que conlleve al aseguramiento de calidad que se persigue en el desarrollo de software, sin olvidarse de cumplir con los requerimientos del cliente.</w:t>
      </w:r>
    </w:p>
    <w:p w:rsidR="002931CE" w:rsidRDefault="002931CE"/>
    <w:p w:rsidR="002931CE" w:rsidRDefault="0065768F">
      <w:pPr>
        <w:pStyle w:val="Ttulo1"/>
        <w:ind w:firstLine="0"/>
      </w:pPr>
      <w:bookmarkStart w:id="21" w:name="_igqyo05d1sbe" w:colFirst="0" w:colLast="0"/>
      <w:bookmarkEnd w:id="21"/>
      <w:r>
        <w:t>15</w:t>
      </w:r>
      <w:r w:rsidR="00AF42C6">
        <w:tab/>
        <w:t>Referencias</w:t>
      </w:r>
    </w:p>
    <w:p w:rsidR="002931CE" w:rsidRDefault="002931CE"/>
    <w:p w:rsidR="002931CE" w:rsidRDefault="00AF42C6">
      <w:pPr>
        <w:ind w:left="360" w:hanging="360"/>
        <w:rPr>
          <w:rFonts w:ascii="Times New Roman" w:eastAsia="Times New Roman" w:hAnsi="Times New Roman" w:cs="Times New Roman"/>
          <w:sz w:val="16"/>
          <w:szCs w:val="16"/>
        </w:rPr>
      </w:pPr>
      <w:r>
        <w:rPr>
          <w:sz w:val="16"/>
          <w:szCs w:val="16"/>
        </w:rPr>
        <w:t>[1]</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AF42C6">
      <w:pPr>
        <w:ind w:left="360" w:hanging="360"/>
        <w:rPr>
          <w:rFonts w:ascii="Times New Roman" w:eastAsia="Times New Roman" w:hAnsi="Times New Roman" w:cs="Times New Roman"/>
          <w:sz w:val="16"/>
          <w:szCs w:val="16"/>
        </w:rPr>
      </w:pPr>
      <w:r w:rsidRPr="00CB17D4">
        <w:rPr>
          <w:rFonts w:ascii="Times New Roman" w:eastAsia="Times New Roman" w:hAnsi="Times New Roman" w:cs="Times New Roman"/>
          <w:sz w:val="16"/>
          <w:szCs w:val="16"/>
          <w:lang w:val="en-US"/>
        </w:rPr>
        <w:t>[2]</w:t>
      </w:r>
      <w:r w:rsidRPr="00CB17D4">
        <w:rPr>
          <w:rFonts w:ascii="Times New Roman" w:eastAsia="Times New Roman" w:hAnsi="Times New Roman" w:cs="Times New Roman"/>
          <w:sz w:val="16"/>
          <w:szCs w:val="16"/>
          <w:lang w:val="en-US"/>
        </w:rPr>
        <w:tab/>
        <w:t xml:space="preserve">SPICE Consolidated Product - Software </w:t>
      </w:r>
      <w:proofErr w:type="spellStart"/>
      <w:r w:rsidRPr="00CB17D4">
        <w:rPr>
          <w:rFonts w:ascii="Times New Roman" w:eastAsia="Times New Roman" w:hAnsi="Times New Roman" w:cs="Times New Roman"/>
          <w:sz w:val="16"/>
          <w:szCs w:val="16"/>
          <w:lang w:val="en-US"/>
        </w:rPr>
        <w:t>Processs</w:t>
      </w:r>
      <w:proofErr w:type="spellEnd"/>
      <w:r w:rsidRPr="00CB17D4">
        <w:rPr>
          <w:rFonts w:ascii="Times New Roman" w:eastAsia="Times New Roman" w:hAnsi="Times New Roman" w:cs="Times New Roman"/>
          <w:sz w:val="16"/>
          <w:szCs w:val="16"/>
          <w:lang w:val="en-US"/>
        </w:rPr>
        <w:t xml:space="preserve"> Assessment. Part1: Concepts and introductory guide. </w:t>
      </w:r>
      <w:proofErr w:type="spellStart"/>
      <w:r>
        <w:rPr>
          <w:rFonts w:ascii="Times New Roman" w:eastAsia="Times New Roman" w:hAnsi="Times New Roman" w:cs="Times New Roman"/>
          <w:sz w:val="16"/>
          <w:szCs w:val="16"/>
        </w:rPr>
        <w:t>Version</w:t>
      </w:r>
      <w:proofErr w:type="spellEnd"/>
      <w:r>
        <w:rPr>
          <w:rFonts w:ascii="Times New Roman" w:eastAsia="Times New Roman" w:hAnsi="Times New Roman" w:cs="Times New Roman"/>
          <w:sz w:val="16"/>
          <w:szCs w:val="16"/>
        </w:rPr>
        <w:t xml:space="preserve"> 1.00. </w:t>
      </w:r>
      <w:proofErr w:type="spellStart"/>
      <w:r>
        <w:rPr>
          <w:rFonts w:ascii="Times New Roman" w:eastAsia="Times New Roman" w:hAnsi="Times New Roman" w:cs="Times New Roman"/>
          <w:sz w:val="16"/>
          <w:szCs w:val="16"/>
        </w:rPr>
        <w:t>pp</w:t>
      </w:r>
      <w:proofErr w:type="spellEnd"/>
      <w:r>
        <w:rPr>
          <w:rFonts w:ascii="Times New Roman" w:eastAsia="Times New Roman" w:hAnsi="Times New Roman" w:cs="Times New Roman"/>
          <w:sz w:val="16"/>
          <w:szCs w:val="16"/>
        </w:rPr>
        <w:t xml:space="preserve"> 5.</w:t>
      </w:r>
    </w:p>
    <w:p w:rsidR="002931CE" w:rsidRDefault="00AF42C6">
      <w:pPr>
        <w:ind w:left="360" w:hanging="36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r>
        <w:rPr>
          <w:rFonts w:ascii="Times New Roman" w:eastAsia="Times New Roman" w:hAnsi="Times New Roman" w:cs="Times New Roman"/>
          <w:sz w:val="16"/>
          <w:szCs w:val="16"/>
        </w:rPr>
        <w:tab/>
        <w:t xml:space="preserve">Mª Carmen García y Javier </w:t>
      </w:r>
      <w:proofErr w:type="spellStart"/>
      <w:r>
        <w:rPr>
          <w:rFonts w:ascii="Times New Roman" w:eastAsia="Times New Roman" w:hAnsi="Times New Roman" w:cs="Times New Roman"/>
          <w:sz w:val="16"/>
          <w:szCs w:val="16"/>
        </w:rPr>
        <w:t>Garzás</w:t>
      </w:r>
      <w:proofErr w:type="spellEnd"/>
      <w:r>
        <w:rPr>
          <w:rFonts w:ascii="Times New Roman" w:eastAsia="Times New Roman" w:hAnsi="Times New Roman" w:cs="Times New Roman"/>
          <w:sz w:val="16"/>
          <w:szCs w:val="16"/>
        </w:rPr>
        <w:t xml:space="preserve"> (2012, Septiembre 07). [En línea]. Disponible en: </w:t>
      </w:r>
      <w:hyperlink r:id="rId15">
        <w:r>
          <w:rPr>
            <w:rFonts w:ascii="Times New Roman" w:eastAsia="Times New Roman" w:hAnsi="Times New Roman" w:cs="Times New Roman"/>
            <w:color w:val="1155CC"/>
            <w:sz w:val="16"/>
            <w:szCs w:val="16"/>
            <w:u w:val="single"/>
          </w:rPr>
          <w:t>http://web.archive.org/web/20120907131010/http://www.kybeleconsulting.com/recursos/articulos/la-certificacion-por-niveles-de-madurez-de-isoiec-15504-spice/</w:t>
        </w:r>
      </w:hyperlink>
    </w:p>
    <w:p w:rsidR="002931CE" w:rsidRDefault="00AF42C6">
      <w:pPr>
        <w:ind w:left="360" w:hanging="36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r>
        <w:rPr>
          <w:rFonts w:ascii="Times New Roman" w:eastAsia="Times New Roman" w:hAnsi="Times New Roman" w:cs="Times New Roman"/>
          <w:sz w:val="16"/>
          <w:szCs w:val="16"/>
        </w:rPr>
        <w:tab/>
      </w:r>
      <w:proofErr w:type="spellStart"/>
      <w:r>
        <w:rPr>
          <w:rFonts w:ascii="Times New Roman" w:eastAsia="Times New Roman" w:hAnsi="Times New Roman" w:cs="Times New Roman"/>
          <w:sz w:val="16"/>
          <w:szCs w:val="16"/>
        </w:rPr>
        <w:t>rkv</w:t>
      </w:r>
      <w:proofErr w:type="spellEnd"/>
      <w:r>
        <w:rPr>
          <w:rFonts w:ascii="Times New Roman" w:eastAsia="Times New Roman" w:hAnsi="Times New Roman" w:cs="Times New Roman"/>
          <w:sz w:val="16"/>
          <w:szCs w:val="16"/>
        </w:rPr>
        <w:t xml:space="preserve"> (2012, Mayo 13). [En línea]. Disponible en: </w:t>
      </w:r>
      <w:hyperlink r:id="rId16">
        <w:r>
          <w:rPr>
            <w:rFonts w:ascii="Times New Roman" w:eastAsia="Times New Roman" w:hAnsi="Times New Roman" w:cs="Times New Roman"/>
            <w:color w:val="1155CC"/>
            <w:sz w:val="16"/>
            <w:szCs w:val="16"/>
            <w:u w:val="single"/>
          </w:rPr>
          <w:t>http://thebest-app.blogspot.com.ar/2012/05/definicion-y-evaluacion-de-procesos-de.html</w:t>
        </w:r>
      </w:hyperlink>
      <w:r>
        <w:rPr>
          <w:rFonts w:ascii="Times New Roman" w:eastAsia="Times New Roman" w:hAnsi="Times New Roman" w:cs="Times New Roman"/>
          <w:sz w:val="16"/>
          <w:szCs w:val="16"/>
        </w:rPr>
        <w:t>.</w:t>
      </w:r>
    </w:p>
    <w:p w:rsidR="002931CE" w:rsidRDefault="00AF42C6">
      <w:pPr>
        <w:ind w:left="360" w:hanging="36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r>
        <w:rPr>
          <w:rFonts w:ascii="Times New Roman" w:eastAsia="Times New Roman" w:hAnsi="Times New Roman" w:cs="Times New Roman"/>
          <w:sz w:val="16"/>
          <w:szCs w:val="16"/>
        </w:rPr>
        <w:tab/>
        <w:t xml:space="preserve">Sommerville, Ian. </w:t>
      </w:r>
      <w:r>
        <w:rPr>
          <w:rFonts w:ascii="Times New Roman" w:eastAsia="Times New Roman" w:hAnsi="Times New Roman" w:cs="Times New Roman"/>
          <w:i/>
          <w:sz w:val="16"/>
          <w:szCs w:val="16"/>
        </w:rPr>
        <w:t>“Ingeniería de Software”</w:t>
      </w:r>
      <w:r>
        <w:rPr>
          <w:rFonts w:ascii="Times New Roman" w:eastAsia="Times New Roman" w:hAnsi="Times New Roman" w:cs="Times New Roman"/>
          <w:sz w:val="16"/>
          <w:szCs w:val="16"/>
        </w:rPr>
        <w:t xml:space="preserve">. 9na Edición. Editorial Pearson, México 2011. </w:t>
      </w:r>
      <w:proofErr w:type="spellStart"/>
      <w:r>
        <w:rPr>
          <w:rFonts w:ascii="Times New Roman" w:eastAsia="Times New Roman" w:hAnsi="Times New Roman" w:cs="Times New Roman"/>
          <w:sz w:val="16"/>
          <w:szCs w:val="16"/>
        </w:rPr>
        <w:t>pp</w:t>
      </w:r>
      <w:proofErr w:type="spellEnd"/>
      <w:r>
        <w:rPr>
          <w:rFonts w:ascii="Times New Roman" w:eastAsia="Times New Roman" w:hAnsi="Times New Roman" w:cs="Times New Roman"/>
          <w:sz w:val="16"/>
          <w:szCs w:val="16"/>
        </w:rPr>
        <w:t xml:space="preserve"> 724.</w:t>
      </w:r>
    </w:p>
    <w:p w:rsidR="002931CE" w:rsidRDefault="00AF42C6">
      <w:pPr>
        <w:ind w:left="360" w:hanging="360"/>
        <w:rPr>
          <w:rFonts w:ascii="Times New Roman" w:eastAsia="Times New Roman" w:hAnsi="Times New Roman" w:cs="Times New Roman"/>
          <w:sz w:val="16"/>
          <w:szCs w:val="16"/>
        </w:rPr>
      </w:pPr>
      <w:r>
        <w:rPr>
          <w:rFonts w:ascii="Times New Roman" w:eastAsia="Times New Roman" w:hAnsi="Times New Roman" w:cs="Times New Roman"/>
          <w:sz w:val="16"/>
          <w:szCs w:val="16"/>
        </w:rPr>
        <w:t>[6]</w:t>
      </w:r>
      <w:r>
        <w:rPr>
          <w:rFonts w:ascii="Times New Roman" w:eastAsia="Times New Roman" w:hAnsi="Times New Roman" w:cs="Times New Roman"/>
          <w:sz w:val="16"/>
          <w:szCs w:val="16"/>
        </w:rPr>
        <w:tab/>
        <w:t xml:space="preserve">Sommerville, Ian. </w:t>
      </w:r>
      <w:r>
        <w:rPr>
          <w:rFonts w:ascii="Times New Roman" w:eastAsia="Times New Roman" w:hAnsi="Times New Roman" w:cs="Times New Roman"/>
          <w:i/>
          <w:sz w:val="16"/>
          <w:szCs w:val="16"/>
        </w:rPr>
        <w:t>“Ingeniería de Software”</w:t>
      </w:r>
      <w:r>
        <w:rPr>
          <w:rFonts w:ascii="Times New Roman" w:eastAsia="Times New Roman" w:hAnsi="Times New Roman" w:cs="Times New Roman"/>
          <w:sz w:val="16"/>
          <w:szCs w:val="16"/>
        </w:rPr>
        <w:t xml:space="preserve">. 9na Edición. Editorial Pearson, México 2011. </w:t>
      </w:r>
      <w:proofErr w:type="spellStart"/>
      <w:r>
        <w:rPr>
          <w:rFonts w:ascii="Times New Roman" w:eastAsia="Times New Roman" w:hAnsi="Times New Roman" w:cs="Times New Roman"/>
          <w:sz w:val="16"/>
          <w:szCs w:val="16"/>
        </w:rPr>
        <w:t>pp</w:t>
      </w:r>
      <w:proofErr w:type="spellEnd"/>
      <w:r>
        <w:rPr>
          <w:rFonts w:ascii="Times New Roman" w:eastAsia="Times New Roman" w:hAnsi="Times New Roman" w:cs="Times New Roman"/>
          <w:sz w:val="16"/>
          <w:szCs w:val="16"/>
        </w:rPr>
        <w:t xml:space="preserve"> 725-726.</w:t>
      </w:r>
    </w:p>
    <w:p w:rsidR="002931CE" w:rsidRDefault="00AF42C6">
      <w:pPr>
        <w:ind w:left="360" w:hanging="360"/>
        <w:rPr>
          <w:rFonts w:ascii="Times New Roman" w:eastAsia="Times New Roman" w:hAnsi="Times New Roman" w:cs="Times New Roman"/>
          <w:sz w:val="16"/>
          <w:szCs w:val="16"/>
        </w:rPr>
      </w:pPr>
      <w:r w:rsidRPr="00CB17D4">
        <w:rPr>
          <w:rFonts w:ascii="Times New Roman" w:eastAsia="Times New Roman" w:hAnsi="Times New Roman" w:cs="Times New Roman"/>
          <w:sz w:val="16"/>
          <w:szCs w:val="16"/>
          <w:lang w:val="en-US"/>
        </w:rPr>
        <w:t>[7]</w:t>
      </w:r>
      <w:r w:rsidRPr="00CB17D4">
        <w:rPr>
          <w:rFonts w:ascii="Times New Roman" w:eastAsia="Times New Roman" w:hAnsi="Times New Roman" w:cs="Times New Roman"/>
          <w:sz w:val="16"/>
          <w:szCs w:val="16"/>
          <w:lang w:val="en-US"/>
        </w:rPr>
        <w:tab/>
        <w:t xml:space="preserve">SPICE Consolidated Product - Software </w:t>
      </w:r>
      <w:proofErr w:type="spellStart"/>
      <w:r w:rsidRPr="00CB17D4">
        <w:rPr>
          <w:rFonts w:ascii="Times New Roman" w:eastAsia="Times New Roman" w:hAnsi="Times New Roman" w:cs="Times New Roman"/>
          <w:sz w:val="16"/>
          <w:szCs w:val="16"/>
          <w:lang w:val="en-US"/>
        </w:rPr>
        <w:t>Processs</w:t>
      </w:r>
      <w:proofErr w:type="spellEnd"/>
      <w:r w:rsidRPr="00CB17D4">
        <w:rPr>
          <w:rFonts w:ascii="Times New Roman" w:eastAsia="Times New Roman" w:hAnsi="Times New Roman" w:cs="Times New Roman"/>
          <w:sz w:val="16"/>
          <w:szCs w:val="16"/>
          <w:lang w:val="en-US"/>
        </w:rPr>
        <w:t xml:space="preserve"> Assessment. Part1: Concepts and introductory guide. </w:t>
      </w:r>
      <w:proofErr w:type="spellStart"/>
      <w:r>
        <w:rPr>
          <w:rFonts w:ascii="Times New Roman" w:eastAsia="Times New Roman" w:hAnsi="Times New Roman" w:cs="Times New Roman"/>
          <w:sz w:val="16"/>
          <w:szCs w:val="16"/>
        </w:rPr>
        <w:t>Version</w:t>
      </w:r>
      <w:proofErr w:type="spellEnd"/>
      <w:r>
        <w:rPr>
          <w:rFonts w:ascii="Times New Roman" w:eastAsia="Times New Roman" w:hAnsi="Times New Roman" w:cs="Times New Roman"/>
          <w:sz w:val="16"/>
          <w:szCs w:val="16"/>
        </w:rPr>
        <w:t xml:space="preserve"> 1.00. </w:t>
      </w:r>
      <w:proofErr w:type="spellStart"/>
      <w:r>
        <w:rPr>
          <w:rFonts w:ascii="Times New Roman" w:eastAsia="Times New Roman" w:hAnsi="Times New Roman" w:cs="Times New Roman"/>
          <w:sz w:val="16"/>
          <w:szCs w:val="16"/>
        </w:rPr>
        <w:t>pp</w:t>
      </w:r>
      <w:proofErr w:type="spellEnd"/>
      <w:r>
        <w:rPr>
          <w:rFonts w:ascii="Times New Roman" w:eastAsia="Times New Roman" w:hAnsi="Times New Roman" w:cs="Times New Roman"/>
          <w:sz w:val="16"/>
          <w:szCs w:val="16"/>
        </w:rPr>
        <w:t xml:space="preserve"> 6.</w:t>
      </w:r>
    </w:p>
    <w:p w:rsidR="002931CE" w:rsidRDefault="002931CE">
      <w:pPr>
        <w:ind w:left="360" w:hanging="360"/>
        <w:rPr>
          <w:rFonts w:ascii="Times New Roman" w:eastAsia="Times New Roman" w:hAnsi="Times New Roman" w:cs="Times New Roman"/>
          <w:sz w:val="16"/>
          <w:szCs w:val="16"/>
        </w:rPr>
      </w:pPr>
    </w:p>
    <w:p w:rsidR="002931CE" w:rsidRDefault="002931CE">
      <w:pPr>
        <w:ind w:firstLine="284"/>
      </w:pPr>
    </w:p>
    <w:sectPr w:rsidR="002931CE">
      <w:type w:val="continuous"/>
      <w:pgSz w:w="12240" w:h="15840"/>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1DA" w:rsidRDefault="000061DA">
      <w:r>
        <w:separator/>
      </w:r>
    </w:p>
  </w:endnote>
  <w:endnote w:type="continuationSeparator" w:id="0">
    <w:p w:rsidR="000061DA" w:rsidRDefault="00006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acer">
    <w:altName w:val="MV Bol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1CE" w:rsidRDefault="00AF42C6">
    <w:pPr>
      <w:tabs>
        <w:tab w:val="center" w:pos="4419"/>
        <w:tab w:val="right" w:pos="8838"/>
      </w:tabs>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noProof/>
        <w:lang w:val="en-US"/>
      </w:rPr>
      <mc:AlternateContent>
        <mc:Choice Requires="wps">
          <w:drawing>
            <wp:anchor distT="0" distB="0" distL="114300" distR="114300" simplePos="0" relativeHeight="251659264" behindDoc="0" locked="0" layoutInCell="1" hidden="0" allowOverlap="1">
              <wp:simplePos x="0" y="0"/>
              <wp:positionH relativeFrom="margin">
                <wp:posOffset>0</wp:posOffset>
              </wp:positionH>
              <wp:positionV relativeFrom="paragraph">
                <wp:posOffset>63500</wp:posOffset>
              </wp:positionV>
              <wp:extent cx="6172200" cy="38100"/>
              <wp:effectExtent l="0" t="0" r="0" b="0"/>
              <wp:wrapNone/>
              <wp:docPr id="7" name="Conector recto de flecha 7"/>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38100" cap="flat" cmpd="thickThin">
                        <a:solidFill>
                          <a:srgbClr val="000000"/>
                        </a:solidFill>
                        <a:prstDash val="solid"/>
                        <a:miter lim="800000"/>
                        <a:headEnd type="none" w="med" len="med"/>
                        <a:tailEnd type="none" w="med" len="med"/>
                      </a:ln>
                    </wps:spPr>
                    <wps:bodyPr/>
                  </wps:wsp>
                </a:graphicData>
              </a:graphic>
            </wp:anchor>
          </w:drawing>
        </mc:Choice>
        <mc:Fallback>
          <w:pict>
            <v:shapetype w14:anchorId="2056D271" id="_x0000_t32" coordsize="21600,21600" o:spt="32" o:oned="t" path="m,l21600,21600e" filled="f">
              <v:path arrowok="t" fillok="f" o:connecttype="none"/>
              <o:lock v:ext="edit" shapetype="t"/>
            </v:shapetype>
            <v:shape id="Conector recto de flecha 7" o:spid="_x0000_s1026" type="#_x0000_t32" style="position:absolute;margin-left:0;margin-top:5pt;width:486pt;height:3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" strokeweight="3pt">
              <v:stroke linestyle="thickThin" joinstyle="miter"/>
              <w10:wrap anchorx="margin"/>
            </v:shape>
          </w:pict>
        </mc:Fallback>
      </mc:AlternateContent>
    </w:r>
  </w:p>
  <w:p w:rsidR="002931CE" w:rsidRDefault="00AF42C6">
    <w:pPr>
      <w:tabs>
        <w:tab w:val="center" w:pos="4419"/>
        <w:tab w:val="right" w:pos="8838"/>
      </w:tabs>
      <w:spacing w:after="567"/>
      <w:ind w:firstLine="0"/>
      <w:jc w:val="center"/>
      <w:rPr>
        <w:rFonts w:ascii="Times New Roman" w:eastAsia="Times New Roman" w:hAnsi="Times New Roman" w:cs="Times New Roman"/>
        <w:sz w:val="24"/>
        <w:szCs w:val="24"/>
      </w:rPr>
    </w:pPr>
    <w:r>
      <w:rPr>
        <w:rFonts w:ascii="Racer" w:eastAsia="Racer" w:hAnsi="Racer" w:cs="Racer"/>
        <w:sz w:val="20"/>
        <w:szCs w:val="20"/>
      </w:rPr>
      <w:fldChar w:fldCharType="begin"/>
    </w:r>
    <w:r>
      <w:rPr>
        <w:rFonts w:ascii="Racer" w:eastAsia="Racer" w:hAnsi="Racer" w:cs="Racer"/>
        <w:sz w:val="20"/>
        <w:szCs w:val="20"/>
      </w:rPr>
      <w:instrText>PAGE</w:instrText>
    </w:r>
    <w:r>
      <w:rPr>
        <w:rFonts w:ascii="Racer" w:eastAsia="Racer" w:hAnsi="Racer" w:cs="Racer"/>
        <w:sz w:val="20"/>
        <w:szCs w:val="20"/>
      </w:rPr>
      <w:fldChar w:fldCharType="separate"/>
    </w:r>
    <w:r w:rsidR="0065768F">
      <w:rPr>
        <w:rFonts w:ascii="Racer" w:eastAsia="Racer" w:hAnsi="Racer" w:cs="Racer"/>
        <w:noProof/>
        <w:sz w:val="20"/>
        <w:szCs w:val="20"/>
      </w:rPr>
      <w:t>4</w:t>
    </w:r>
    <w:r>
      <w:rPr>
        <w:rFonts w:ascii="Racer" w:eastAsia="Racer" w:hAnsi="Racer" w:cs="Rac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1DA" w:rsidRDefault="000061DA">
      <w:r>
        <w:separator/>
      </w:r>
    </w:p>
  </w:footnote>
  <w:footnote w:type="continuationSeparator" w:id="0">
    <w:p w:rsidR="000061DA" w:rsidRDefault="00006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1CE" w:rsidRDefault="00CB17D4">
    <w:pPr>
      <w:spacing w:before="567"/>
      <w:ind w:right="360"/>
    </w:pPr>
    <w:r>
      <w:t>UTN - FRC. Cahuana, Casares, Ludueña, Pinchiroli, Ribero. CMMI</w:t>
    </w:r>
    <w:r w:rsidR="00AF42C6">
      <w:rPr>
        <w:noProof/>
        <w:lang w:val="en-US"/>
      </w:rPr>
      <mc:AlternateContent>
        <mc:Choice Requires="wps">
          <w:drawing>
            <wp:anchor distT="0" distB="0" distL="114300" distR="114300" simplePos="0" relativeHeight="251664384" behindDoc="0" locked="0" layoutInCell="1" hidden="0" allowOverlap="1">
              <wp:simplePos x="0" y="0"/>
              <wp:positionH relativeFrom="margin">
                <wp:posOffset>0</wp:posOffset>
              </wp:positionH>
              <wp:positionV relativeFrom="paragraph">
                <wp:posOffset>241300</wp:posOffset>
              </wp:positionV>
              <wp:extent cx="6172200" cy="38100"/>
              <wp:effectExtent l="0" t="0" r="0" b="0"/>
              <wp:wrapNone/>
              <wp:docPr id="8" name="Conector recto de flecha 8"/>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38100" cap="flat" cmpd="thinThick">
                        <a:solidFill>
                          <a:srgbClr val="000000"/>
                        </a:solidFill>
                        <a:prstDash val="solid"/>
                        <a:miter lim="800000"/>
                        <a:headEnd type="none" w="med" len="med"/>
                        <a:tailEnd type="none" w="med" len="med"/>
                      </a:ln>
                    </wps:spPr>
                    <wps:bodyPr/>
                  </wps:wsp>
                </a:graphicData>
              </a:graphic>
            </wp:anchor>
          </w:drawing>
        </mc:Choice>
        <mc:Fallback>
          <w:pict>
            <v:shapetype w14:anchorId="78C33BE2" id="_x0000_t32" coordsize="21600,21600" o:spt="32" o:oned="t" path="m,l21600,21600e" filled="f">
              <v:path arrowok="t" fillok="f" o:connecttype="none"/>
              <o:lock v:ext="edit" shapetype="t"/>
            </v:shapetype>
            <v:shape id="Conector recto de flecha 8" o:spid="_x0000_s1026" type="#_x0000_t32" style="position:absolute;margin-left:0;margin-top:19pt;width:486pt;height:3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" strokeweight="3pt">
              <v:stroke linestyle="thinThick" joinstyle="miter"/>
              <w10:wrap anchorx="margin"/>
            </v:shape>
          </w:pict>
        </mc:Fallback>
      </mc:AlternateContent>
    </w:r>
  </w:p>
  <w:p w:rsidR="002931CE" w:rsidRDefault="00AF42C6">
    <w:pPr>
      <w:tabs>
        <w:tab w:val="center" w:pos="4419"/>
        <w:tab w:val="right" w:pos="8838"/>
      </w:tabs>
      <w:ind w:firstLine="0"/>
      <w:rPr>
        <w:rFonts w:ascii="Times New Roman" w:eastAsia="Times New Roman" w:hAnsi="Times New Roman" w:cs="Times New Roman"/>
        <w:sz w:val="20"/>
        <w:szCs w:val="20"/>
      </w:rPr>
    </w:pPr>
    <w:r>
      <w:rPr>
        <w:sz w:val="20"/>
        <w:szCs w:val="20"/>
      </w:rPr>
      <w:t>.</w:t>
    </w:r>
  </w:p>
  <w:p w:rsidR="002931CE" w:rsidRDefault="002931CE">
    <w:pPr>
      <w:tabs>
        <w:tab w:val="center" w:pos="4419"/>
        <w:tab w:val="right" w:pos="8838"/>
      </w:tabs>
      <w:ind w:firstLine="0"/>
      <w:jc w:val="left"/>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5"/>
  </w:num>
  <w:num w:numId="3">
    <w:abstractNumId w:val="8"/>
  </w:num>
  <w:num w:numId="4">
    <w:abstractNumId w:val="4"/>
  </w:num>
  <w:num w:numId="5">
    <w:abstractNumId w:val="1"/>
  </w:num>
  <w:num w:numId="6">
    <w:abstractNumId w:val="7"/>
  </w:num>
  <w:num w:numId="7">
    <w:abstractNumId w:val="12"/>
  </w:num>
  <w:num w:numId="8">
    <w:abstractNumId w:val="6"/>
  </w:num>
  <w:num w:numId="9">
    <w:abstractNumId w:val="2"/>
  </w:num>
  <w:num w:numId="10">
    <w:abstractNumId w:val="0"/>
  </w:num>
  <w:num w:numId="11">
    <w:abstractNumId w:val="9"/>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1CE"/>
    <w:rsid w:val="000061DA"/>
    <w:rsid w:val="000F2CD8"/>
    <w:rsid w:val="00143CC8"/>
    <w:rsid w:val="001C07C9"/>
    <w:rsid w:val="001C4FF1"/>
    <w:rsid w:val="002931CE"/>
    <w:rsid w:val="00364807"/>
    <w:rsid w:val="00376A79"/>
    <w:rsid w:val="00447A8F"/>
    <w:rsid w:val="0065768F"/>
    <w:rsid w:val="008B3D6B"/>
    <w:rsid w:val="009E6963"/>
    <w:rsid w:val="00A83EEA"/>
    <w:rsid w:val="00A90232"/>
    <w:rsid w:val="00AF42C6"/>
    <w:rsid w:val="00B33DE6"/>
    <w:rsid w:val="00B52D85"/>
    <w:rsid w:val="00B91DA7"/>
    <w:rsid w:val="00CB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0ADC"/>
  <w15:docId w15:val="{2FCFDA9C-02FA-4E02-A020-B802249A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hebest-app.blogspot.com.ar/2012/05/definicion-y-evaluacion-de-procesos-d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eb.archive.org/web/20120907131010/http://www.kybeleconsulting.com/recursos/articulos/la-certificacion-por-niveles-de-madurez-de-isoiec-15504-spic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utomotivespic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2854</Words>
  <Characters>15698</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santi pinchiroli</cp:lastModifiedBy>
  <cp:revision>5</cp:revision>
  <dcterms:created xsi:type="dcterms:W3CDTF">2018-11-03T17:21:00Z</dcterms:created>
  <dcterms:modified xsi:type="dcterms:W3CDTF">2018-11-04T02:02:00Z</dcterms:modified>
</cp:coreProperties>
</file>