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proofErr w:type="spellStart"/>
      <w:r>
        <w:rPr>
          <w:sz w:val="22"/>
          <w:szCs w:val="22"/>
        </w:rPr>
        <w:t>Keyssi</w:t>
      </w:r>
      <w:proofErr w:type="spellEnd"/>
      <w:r w:rsidR="00A918F0">
        <w:rPr>
          <w:sz w:val="22"/>
          <w:szCs w:val="22"/>
        </w:rPr>
        <w:t xml:space="preserve"> </w:t>
      </w:r>
      <w:r w:rsidR="00A918F0">
        <w:rPr>
          <w:sz w:val="22"/>
          <w:szCs w:val="22"/>
        </w:rPr>
        <w:t>Cahuana</w:t>
      </w:r>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A918F0" w:rsidP="00B8635C">
      <w:pPr>
        <w:jc w:val="center"/>
        <w:rPr>
          <w:sz w:val="22"/>
          <w:szCs w:val="22"/>
        </w:rPr>
      </w:pPr>
      <w:r>
        <w:rPr>
          <w:sz w:val="22"/>
          <w:szCs w:val="22"/>
        </w:rPr>
        <w:t xml:space="preserve">Mauricio </w:t>
      </w:r>
      <w:r>
        <w:rPr>
          <w:sz w:val="22"/>
          <w:szCs w:val="22"/>
        </w:rPr>
        <w:t>Casares</w:t>
      </w:r>
      <w:r>
        <w:rPr>
          <w:sz w:val="22"/>
          <w:szCs w:val="22"/>
        </w:rPr>
        <w:t xml:space="preserve">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w:t>
      </w:r>
      <w:r w:rsidR="00A918F0">
        <w:rPr>
          <w:sz w:val="22"/>
          <w:szCs w:val="22"/>
        </w:rPr>
        <w:t>Ribero</w:t>
      </w:r>
      <w:bookmarkStart w:id="1" w:name="_GoBack"/>
      <w:bookmarkEnd w:id="1"/>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2" w:name="_4vpf0hsudgyq" w:colFirst="0" w:colLast="0"/>
      <w:bookmarkEnd w:id="2"/>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3" w:name="_gzsmidowzm5a" w:colFirst="0" w:colLast="0"/>
      <w:bookmarkEnd w:id="3"/>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pPr>
        <w:rPr>
          <w:lang w:val="es-AR"/>
        </w:rPr>
      </w:pPr>
    </w:p>
    <w:p w:rsidR="000C7D30" w:rsidRDefault="000C7D30">
      <w:pPr>
        <w:rPr>
          <w:lang w:val="es-AR"/>
        </w:rPr>
      </w:pPr>
    </w:p>
    <w:p w:rsidR="000C7D30" w:rsidRDefault="000C7D30" w:rsidP="00E01E97">
      <w:pPr>
        <w:ind w:firstLine="0"/>
        <w:rPr>
          <w:lang w:val="es-AR"/>
        </w:rPr>
      </w:pPr>
    </w:p>
    <w:p w:rsidR="00E01E97" w:rsidRDefault="00E01E97" w:rsidP="00E01E97">
      <w:pPr>
        <w:ind w:firstLine="0"/>
        <w:rPr>
          <w:lang w:val="es-AR"/>
        </w:rPr>
      </w:pPr>
    </w:p>
    <w:p w:rsidR="00340A35" w:rsidRDefault="00340A35" w:rsidP="00340A35">
      <w:pPr>
        <w:pStyle w:val="Ttulo2"/>
        <w:ind w:left="0" w:firstLine="0"/>
      </w:pPr>
      <w:r>
        <w:lastRenderedPageBreak/>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lastRenderedPageBreak/>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B260C3" w:rsidRPr="004F17B7" w:rsidRDefault="0053040F" w:rsidP="004F17B7">
      <w:pPr>
        <w:spacing w:after="120" w:line="240" w:lineRule="atLeast"/>
        <w:ind w:firstLine="0"/>
        <w:rPr>
          <w:lang w:val="es-AR"/>
        </w:rPr>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 xml:space="preserve">Las áreas de proceso son conjuntos de actividades relacionadas en un área, que cuando se realizan conjuntamente, satisfacen un conjunto de metas que se </w:t>
      </w:r>
      <w:r w:rsidRPr="00CE2846">
        <w:lastRenderedPageBreak/>
        <w:t>consideran importantes para lograr mejoras significativas en esa área.</w:t>
      </w:r>
    </w:p>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lastRenderedPageBreak/>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8" w:name="_sgsljj6qsmtz" w:colFirst="0" w:colLast="0"/>
      <w:bookmarkEnd w:id="8"/>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9" w:name="_k3legpds0s6w" w:colFirst="0" w:colLast="0"/>
      <w:bookmarkEnd w:id="9"/>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lastRenderedPageBreak/>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10" w:name="_bc3ybli51c3" w:colFirst="0" w:colLast="0"/>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7F5E7A">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lastRenderedPageBreak/>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1" w:name="_1osaa0kxr5jt" w:colFirst="0" w:colLast="0"/>
      <w:bookmarkEnd w:id="11"/>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2" w:name="_flst85rav7oe" w:colFirst="0" w:colLast="0"/>
      <w:bookmarkEnd w:id="12"/>
      <w:r>
        <w:t>15</w:t>
      </w:r>
      <w:r w:rsidR="00AF42C6">
        <w:tab/>
        <w:t>Conclusiones</w:t>
      </w:r>
    </w:p>
    <w:p w:rsidR="002931CE" w:rsidRDefault="002931CE"/>
    <w:p w:rsidR="002931CE" w:rsidRDefault="002931CE"/>
    <w:p w:rsidR="002931CE" w:rsidRDefault="00772CCF">
      <w:pPr>
        <w:pStyle w:val="Ttulo1"/>
        <w:ind w:firstLine="0"/>
      </w:pPr>
      <w:bookmarkStart w:id="13" w:name="_igqyo05d1sbe" w:colFirst="0" w:colLast="0"/>
      <w:bookmarkEnd w:id="13"/>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lastRenderedPageBreak/>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proofErr w:type="gramStart"/>
      <w:r>
        <w:rPr>
          <w:rFonts w:ascii="Berkeley-Medium" w:hAnsi="Berkeley-Medium" w:cs="Berkeley-Medium"/>
          <w:sz w:val="16"/>
          <w:szCs w:val="16"/>
          <w:lang w:val="en-US"/>
        </w:rPr>
        <w:t>2011a, SEI 2011b].</w:t>
      </w:r>
      <w:proofErr w:type="gramEnd"/>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w:t>
      </w:r>
      <w:proofErr w:type="spellStart"/>
      <w:r w:rsidRPr="009F59AB">
        <w:rPr>
          <w:rFonts w:ascii="Berkeley-Medium" w:hAnsi="Berkeley-Medium" w:cs="Berkeley-Medium"/>
          <w:sz w:val="16"/>
          <w:szCs w:val="16"/>
          <w:lang w:val="es-AR"/>
        </w:rPr>
        <w:t>Institute</w:t>
      </w:r>
      <w:proofErr w:type="spellEnd"/>
      <w:r w:rsidRPr="009F59AB">
        <w:rPr>
          <w:rFonts w:ascii="Berkeley-Medium" w:hAnsi="Berkeley-Medium" w:cs="Berkeley-Medium"/>
          <w:sz w:val="16"/>
          <w:szCs w:val="16"/>
          <w:lang w:val="es-AR"/>
        </w:rPr>
        <w:t xml:space="preserve"> of </w:t>
      </w:r>
      <w:proofErr w:type="spellStart"/>
      <w:r w:rsidRPr="009F59AB">
        <w:rPr>
          <w:rFonts w:ascii="Berkeley-Medium" w:hAnsi="Berkeley-Medium" w:cs="Berkeley-Medium"/>
          <w:sz w:val="16"/>
          <w:szCs w:val="16"/>
          <w:lang w:val="es-AR"/>
        </w:rPr>
        <w:t>Electrical</w:t>
      </w:r>
      <w:proofErr w:type="spellEnd"/>
      <w:r w:rsidRPr="009F59AB">
        <w:rPr>
          <w:rFonts w:ascii="Berkeley-Medium" w:hAnsi="Berkeley-Medium" w:cs="Berkeley-Medium"/>
          <w:sz w:val="16"/>
          <w:szCs w:val="16"/>
          <w:lang w:val="es-AR"/>
        </w:rPr>
        <w:t xml:space="preserve"> and </w:t>
      </w:r>
      <w:proofErr w:type="spellStart"/>
      <w:r w:rsidRPr="009F59AB">
        <w:rPr>
          <w:rFonts w:ascii="Berkeley-Medium" w:hAnsi="Berkeley-Medium" w:cs="Berkeley-Medium"/>
          <w:sz w:val="16"/>
          <w:szCs w:val="16"/>
          <w:lang w:val="es-AR"/>
        </w:rPr>
        <w:t>Electronics</w:t>
      </w:r>
      <w:proofErr w:type="spellEnd"/>
      <w:r w:rsidRPr="009F59AB">
        <w:rPr>
          <w:rFonts w:ascii="Berkeley-Medium" w:hAnsi="Berkeley-Medium" w:cs="Berkeley-Medium"/>
          <w:sz w:val="16"/>
          <w:szCs w:val="16"/>
          <w:lang w:val="es-AR"/>
        </w:rPr>
        <w:t xml:space="preserve"> </w:t>
      </w:r>
      <w:proofErr w:type="spellStart"/>
      <w:r w:rsidRPr="009F59AB">
        <w:rPr>
          <w:rFonts w:ascii="Berkeley-Medium" w:hAnsi="Berkeley-Medium" w:cs="Berkeley-Medium"/>
          <w:sz w:val="16"/>
          <w:szCs w:val="16"/>
          <w:lang w:val="es-AR"/>
        </w:rPr>
        <w:t>Engineers</w:t>
      </w:r>
      <w:proofErr w:type="spellEnd"/>
      <w:r w:rsidRPr="009F59AB">
        <w:rPr>
          <w:rFonts w:ascii="Berkeley-Medium" w:hAnsi="Berkeley-Medium" w:cs="Berkeley-Medium"/>
          <w:sz w:val="16"/>
          <w:szCs w:val="16"/>
          <w:lang w:val="es-AR"/>
        </w:rPr>
        <w:t>)</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FCC" w:rsidRDefault="004B5FCC">
      <w:r>
        <w:separator/>
      </w:r>
    </w:p>
  </w:endnote>
  <w:endnote w:type="continuationSeparator" w:id="0">
    <w:p w:rsidR="004B5FCC" w:rsidRDefault="004B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A918F0">
                            <w:rPr>
                              <w:b/>
                              <w:noProof/>
                              <w:color w:val="1F4E79" w:themeColor="accent1" w:themeShade="80"/>
                              <w:sz w:val="24"/>
                              <w:szCs w:val="24"/>
                            </w:rPr>
                            <w:t>1</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A918F0">
                      <w:rPr>
                        <w:b/>
                        <w:noProof/>
                        <w:color w:val="1F4E79" w:themeColor="accent1" w:themeShade="80"/>
                        <w:sz w:val="24"/>
                        <w:szCs w:val="24"/>
                      </w:rPr>
                      <w:t>1</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FCC" w:rsidRDefault="004B5FCC">
      <w:r>
        <w:separator/>
      </w:r>
    </w:p>
  </w:footnote>
  <w:footnote w:type="continuationSeparator" w:id="0">
    <w:p w:rsidR="004B5FCC" w:rsidRDefault="004B5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40A35"/>
    <w:rsid w:val="003550B9"/>
    <w:rsid w:val="00364807"/>
    <w:rsid w:val="00376A79"/>
    <w:rsid w:val="004374EF"/>
    <w:rsid w:val="00447A8F"/>
    <w:rsid w:val="004554B4"/>
    <w:rsid w:val="004929C8"/>
    <w:rsid w:val="004B5FCC"/>
    <w:rsid w:val="004F17B7"/>
    <w:rsid w:val="0053040F"/>
    <w:rsid w:val="005677D2"/>
    <w:rsid w:val="005A08B1"/>
    <w:rsid w:val="0065768F"/>
    <w:rsid w:val="00681529"/>
    <w:rsid w:val="006D2247"/>
    <w:rsid w:val="00755286"/>
    <w:rsid w:val="00761AD0"/>
    <w:rsid w:val="00772CCF"/>
    <w:rsid w:val="00783E6E"/>
    <w:rsid w:val="007B3084"/>
    <w:rsid w:val="007F5E7A"/>
    <w:rsid w:val="008028CC"/>
    <w:rsid w:val="0082797A"/>
    <w:rsid w:val="008608CD"/>
    <w:rsid w:val="008B243D"/>
    <w:rsid w:val="008B3D6B"/>
    <w:rsid w:val="008B4678"/>
    <w:rsid w:val="008B7182"/>
    <w:rsid w:val="008E17C9"/>
    <w:rsid w:val="009156EE"/>
    <w:rsid w:val="0093744F"/>
    <w:rsid w:val="009E6963"/>
    <w:rsid w:val="009F59AB"/>
    <w:rsid w:val="00A13E15"/>
    <w:rsid w:val="00A73781"/>
    <w:rsid w:val="00A73E53"/>
    <w:rsid w:val="00A806B5"/>
    <w:rsid w:val="00A83EEA"/>
    <w:rsid w:val="00A90232"/>
    <w:rsid w:val="00A918F0"/>
    <w:rsid w:val="00A95DE4"/>
    <w:rsid w:val="00AA2258"/>
    <w:rsid w:val="00AB6110"/>
    <w:rsid w:val="00AD0AD9"/>
    <w:rsid w:val="00AF42C6"/>
    <w:rsid w:val="00B260C3"/>
    <w:rsid w:val="00B33DE6"/>
    <w:rsid w:val="00B52D85"/>
    <w:rsid w:val="00B8635C"/>
    <w:rsid w:val="00B91DA7"/>
    <w:rsid w:val="00BC58AE"/>
    <w:rsid w:val="00BD1238"/>
    <w:rsid w:val="00BF4C89"/>
    <w:rsid w:val="00BF69DC"/>
    <w:rsid w:val="00C958F0"/>
    <w:rsid w:val="00CA12A6"/>
    <w:rsid w:val="00CB1144"/>
    <w:rsid w:val="00CB17D4"/>
    <w:rsid w:val="00CC27F5"/>
    <w:rsid w:val="00CE2846"/>
    <w:rsid w:val="00CF7A0E"/>
    <w:rsid w:val="00D142C9"/>
    <w:rsid w:val="00D254DD"/>
    <w:rsid w:val="00D514F1"/>
    <w:rsid w:val="00D70982"/>
    <w:rsid w:val="00DA3DD6"/>
    <w:rsid w:val="00DE0105"/>
    <w:rsid w:val="00DE70B9"/>
    <w:rsid w:val="00E01E97"/>
    <w:rsid w:val="00E0687B"/>
    <w:rsid w:val="00E77E03"/>
    <w:rsid w:val="00EA2FEB"/>
    <w:rsid w:val="00F67279"/>
    <w:rsid w:val="00FC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3919</Words>
  <Characters>21557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30</cp:revision>
  <dcterms:created xsi:type="dcterms:W3CDTF">2018-11-07T20:10:00Z</dcterms:created>
  <dcterms:modified xsi:type="dcterms:W3CDTF">2018-11-08T03:41:00Z</dcterms:modified>
</cp:coreProperties>
</file>