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35C" w:rsidRDefault="00B8635C" w:rsidP="00B8635C">
      <w:pPr>
        <w:pStyle w:val="Ttulo"/>
      </w:pPr>
      <w:bookmarkStart w:id="0" w:name="_4zrprtexvebc" w:colFirst="0" w:colLast="0"/>
      <w:bookmarkEnd w:id="0"/>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r>
        <w:rPr>
          <w:sz w:val="22"/>
          <w:szCs w:val="22"/>
        </w:rPr>
        <w:t xml:space="preserve">Cahuana </w:t>
      </w:r>
      <w:proofErr w:type="spellStart"/>
      <w:r>
        <w:rPr>
          <w:sz w:val="22"/>
          <w:szCs w:val="22"/>
        </w:rPr>
        <w:t>Keyssi</w:t>
      </w:r>
      <w:proofErr w:type="spellEnd"/>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B8635C" w:rsidP="00B8635C">
      <w:pPr>
        <w:jc w:val="center"/>
        <w:rPr>
          <w:sz w:val="22"/>
          <w:szCs w:val="22"/>
        </w:rPr>
      </w:pPr>
      <w:r>
        <w:rPr>
          <w:sz w:val="22"/>
          <w:szCs w:val="22"/>
        </w:rPr>
        <w:t>Casares Mauricio</w:t>
      </w:r>
      <w:r>
        <w:rPr>
          <w:sz w:val="22"/>
          <w:szCs w:val="22"/>
        </w:rPr>
        <w:tab/>
      </w:r>
      <w:r>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proofErr w:type="spellStart"/>
      <w:r>
        <w:rPr>
          <w:sz w:val="22"/>
          <w:szCs w:val="22"/>
        </w:rPr>
        <w:t>Ludueña</w:t>
      </w:r>
      <w:proofErr w:type="spellEnd"/>
      <w:r>
        <w:rPr>
          <w:sz w:val="22"/>
          <w:szCs w:val="22"/>
        </w:rPr>
        <w:t xml:space="preserve"> Joaquín</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Ribero Martín</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1102EF" w:rsidRPr="00167A66" w:rsidRDefault="00AF42C6" w:rsidP="00364807">
      <w:pPr>
        <w:tabs>
          <w:tab w:val="left" w:pos="425"/>
        </w:tabs>
        <w:rPr>
          <w:i/>
          <w:color w:val="FF0000"/>
        </w:rPr>
      </w:pPr>
      <w:r>
        <w:rPr>
          <w:b/>
          <w:sz w:val="20"/>
          <w:szCs w:val="20"/>
        </w:rPr>
        <w:lastRenderedPageBreak/>
        <w:t xml:space="preserve">RESUMEN: </w:t>
      </w:r>
      <w:r w:rsidRPr="00167A66">
        <w:rPr>
          <w:i/>
          <w:color w:val="FF0000"/>
        </w:rPr>
        <w:t xml:space="preserve">En el presente </w:t>
      </w:r>
      <w:r w:rsidR="008608CD">
        <w:rPr>
          <w:i/>
          <w:color w:val="FF0000"/>
        </w:rPr>
        <w:t>reporte técnico</w:t>
      </w:r>
      <w:r w:rsidRPr="00167A66">
        <w:rPr>
          <w:i/>
          <w:color w:val="FF0000"/>
        </w:rPr>
        <w:t xml:space="preserve"> de</w:t>
      </w:r>
      <w:r w:rsidR="00A83EEA" w:rsidRPr="00167A66">
        <w:rPr>
          <w:i/>
          <w:color w:val="FF0000"/>
        </w:rPr>
        <w:t xml:space="preserve">sarrollamos en primer lugar una breve </w:t>
      </w:r>
      <w:r w:rsidR="00B52D85" w:rsidRPr="00167A66">
        <w:rPr>
          <w:i/>
          <w:color w:val="FF0000"/>
        </w:rPr>
        <w:t>descripción</w:t>
      </w:r>
      <w:r w:rsidR="00A83EEA" w:rsidRPr="00167A66">
        <w:rPr>
          <w:i/>
          <w:color w:val="FF0000"/>
        </w:rPr>
        <w:t xml:space="preserve"> del concep</w:t>
      </w:r>
      <w:r w:rsidR="001102EF" w:rsidRPr="00167A66">
        <w:rPr>
          <w:i/>
          <w:color w:val="FF0000"/>
        </w:rPr>
        <w:t>to de CMMI, y de sus modelos que la componen, CMMI-DEV, CMMI-ACQ y CMMI-SVC, para luego poner foco en uno de estos tres modelos, el CMMI-DEV.</w:t>
      </w:r>
    </w:p>
    <w:p w:rsidR="001102EF" w:rsidRPr="00167A66" w:rsidRDefault="001102EF" w:rsidP="00364807">
      <w:pPr>
        <w:tabs>
          <w:tab w:val="left" w:pos="425"/>
        </w:tabs>
        <w:rPr>
          <w:i/>
          <w:color w:val="FF0000"/>
        </w:rPr>
      </w:pPr>
    </w:p>
    <w:p w:rsidR="00364807" w:rsidRPr="00167A66" w:rsidRDefault="00376A79" w:rsidP="00364807">
      <w:pPr>
        <w:tabs>
          <w:tab w:val="left" w:pos="425"/>
        </w:tabs>
        <w:rPr>
          <w:i/>
          <w:color w:val="FF0000"/>
        </w:rPr>
      </w:pPr>
      <w:r w:rsidRPr="00167A66">
        <w:rPr>
          <w:i/>
          <w:color w:val="FF0000"/>
        </w:rPr>
        <w:t>CMM</w:t>
      </w:r>
      <w:r w:rsidR="00A90232" w:rsidRPr="00167A66">
        <w:rPr>
          <w:i/>
          <w:color w:val="FF0000"/>
        </w:rPr>
        <w:t xml:space="preserve">I-DEV, </w:t>
      </w:r>
      <w:r w:rsidR="001102EF" w:rsidRPr="00167A66">
        <w:rPr>
          <w:i/>
          <w:color w:val="FF0000"/>
        </w:rPr>
        <w:t xml:space="preserve">es un modelo </w:t>
      </w:r>
      <w:r w:rsidR="00A90232" w:rsidRPr="00167A66">
        <w:rPr>
          <w:i/>
          <w:color w:val="FF0000"/>
        </w:rPr>
        <w:t>para el desarrollo de mejores productos y mejores servicios</w:t>
      </w:r>
      <w:r w:rsidR="00447A8F" w:rsidRPr="00167A66">
        <w:rPr>
          <w:i/>
          <w:color w:val="FF0000"/>
        </w:rPr>
        <w:t>, permitiendo evaluar de esta manera el nivel de madurez de una organización, o la capacidad de sus procesos.</w:t>
      </w:r>
    </w:p>
    <w:p w:rsidR="002931CE" w:rsidRPr="00167A66" w:rsidRDefault="002931CE" w:rsidP="000F2CD8">
      <w:pPr>
        <w:tabs>
          <w:tab w:val="left" w:pos="425"/>
        </w:tabs>
        <w:ind w:firstLine="0"/>
        <w:rPr>
          <w:i/>
          <w:color w:val="FF0000"/>
        </w:rPr>
      </w:pPr>
    </w:p>
    <w:p w:rsidR="002931CE" w:rsidRPr="00167A66" w:rsidRDefault="0082797A">
      <w:pPr>
        <w:tabs>
          <w:tab w:val="left" w:pos="425"/>
        </w:tabs>
        <w:rPr>
          <w:i/>
          <w:color w:val="FF0000"/>
        </w:rPr>
      </w:pPr>
      <w:r>
        <w:rPr>
          <w:i/>
          <w:color w:val="FF0000"/>
        </w:rPr>
        <w:t>En pro</w:t>
      </w:r>
      <w:r w:rsidR="001102EF" w:rsidRPr="00167A66">
        <w:rPr>
          <w:i/>
          <w:color w:val="FF0000"/>
        </w:rPr>
        <w:t>c</w:t>
      </w:r>
      <w:r>
        <w:rPr>
          <w:i/>
          <w:color w:val="FF0000"/>
        </w:rPr>
        <w:t>e</w:t>
      </w:r>
      <w:r w:rsidR="001102EF" w:rsidRPr="00167A66">
        <w:rPr>
          <w:i/>
          <w:color w:val="FF0000"/>
        </w:rPr>
        <w:t>so…</w:t>
      </w:r>
    </w:p>
    <w:p w:rsidR="00447A8F" w:rsidRPr="00447A8F" w:rsidRDefault="00447A8F" w:rsidP="00A83EEA">
      <w:pPr>
        <w:tabs>
          <w:tab w:val="left" w:pos="425"/>
        </w:tabs>
        <w:ind w:firstLine="0"/>
        <w:rPr>
          <w:i/>
        </w:rPr>
      </w:pPr>
    </w:p>
    <w:p w:rsidR="002931CE" w:rsidRDefault="002931CE">
      <w:pPr>
        <w:tabs>
          <w:tab w:val="left" w:pos="425"/>
        </w:tabs>
      </w:pPr>
    </w:p>
    <w:p w:rsidR="002931CE" w:rsidRDefault="002931CE">
      <w:pPr>
        <w:tabs>
          <w:tab w:val="left" w:pos="425"/>
        </w:tabs>
      </w:pPr>
    </w:p>
    <w:p w:rsidR="002931CE" w:rsidRDefault="00AF42C6">
      <w:pPr>
        <w:ind w:firstLine="227"/>
      </w:pPr>
      <w:r>
        <w:rPr>
          <w:b/>
        </w:rPr>
        <w:t>PALABRAS CLAVE</w:t>
      </w:r>
      <w:r>
        <w:t xml:space="preserve">: </w:t>
      </w:r>
      <w:r w:rsidRPr="00167A66">
        <w:rPr>
          <w:color w:val="FF0000"/>
        </w:rPr>
        <w:t>aseguramiento de calidad de procesos, modelos de calidad</w:t>
      </w:r>
      <w:r w:rsidR="008B3D6B" w:rsidRPr="00167A66">
        <w:rPr>
          <w:color w:val="FF0000"/>
        </w:rPr>
        <w:t>, Ingeniería de software</w:t>
      </w:r>
      <w:r w:rsidR="008E17C9">
        <w:rPr>
          <w:color w:val="FF0000"/>
        </w:rPr>
        <w:t>, CMM, CMMI</w:t>
      </w:r>
      <w:r>
        <w:t>.</w:t>
      </w:r>
    </w:p>
    <w:p w:rsidR="002931CE" w:rsidRDefault="002931CE"/>
    <w:p w:rsidR="002931CE" w:rsidRDefault="00AF42C6">
      <w:pPr>
        <w:pStyle w:val="Ttulo1"/>
      </w:pPr>
      <w:bookmarkStart w:id="1" w:name="_4vpf0hsudgyq" w:colFirst="0" w:colLast="0"/>
      <w:bookmarkEnd w:id="1"/>
      <w:r>
        <w:t>1</w:t>
      </w:r>
      <w:r>
        <w:tab/>
        <w:t>INTRODUCCIÓN</w:t>
      </w:r>
    </w:p>
    <w:p w:rsidR="002931CE" w:rsidRDefault="002931CE"/>
    <w:p w:rsidR="002931CE" w:rsidRDefault="008E17C9" w:rsidP="001B4E6C">
      <w:r>
        <w:t xml:space="preserve">En el desarrollo del presente reporte se abordará el concepto de CMMI </w:t>
      </w:r>
      <w:r>
        <w:t>(</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w:t>
      </w:r>
      <w:r>
        <w:t xml:space="preserve">, y posteriormente el </w:t>
      </w:r>
      <w:r w:rsidR="00AF42C6" w:rsidRPr="00447A8F">
        <w:rPr>
          <w:color w:val="FF0000"/>
        </w:rPr>
        <w:t xml:space="preserve">funcionamiento, estructura y organización </w:t>
      </w:r>
      <w:r w:rsidR="00AF42C6">
        <w:t>de</w:t>
      </w:r>
      <w:r w:rsidR="00447A8F">
        <w:t xml:space="preserve"> las buenas practicas que proporciona CMMI-DEV en su versión</w:t>
      </w:r>
      <w:r w:rsidR="00B52D85">
        <w:t xml:space="preserve"> </w:t>
      </w:r>
      <w:r w:rsidR="00447A8F">
        <w:t>V1.3</w:t>
      </w:r>
      <w:r w:rsidR="00AF42C6">
        <w:t xml:space="preserve">, </w:t>
      </w:r>
      <w:r w:rsidR="00B33DE6" w:rsidRPr="008E17C9">
        <w:rPr>
          <w:highlight w:val="yellow"/>
        </w:rPr>
        <w:t xml:space="preserve">que </w:t>
      </w:r>
      <w:r w:rsidR="00B8635C" w:rsidRPr="008E17C9">
        <w:rPr>
          <w:highlight w:val="yellow"/>
        </w:rPr>
        <w:t>está</w:t>
      </w:r>
      <w:r w:rsidR="00B33DE6" w:rsidRPr="008E17C9">
        <w:rPr>
          <w:highlight w:val="yellow"/>
        </w:rPr>
        <w:t xml:space="preserve"> basado en el CMMI </w:t>
      </w:r>
      <w:proofErr w:type="spellStart"/>
      <w:r w:rsidR="00B33DE6" w:rsidRPr="008E17C9">
        <w:rPr>
          <w:highlight w:val="yellow"/>
        </w:rPr>
        <w:t>Model</w:t>
      </w:r>
      <w:proofErr w:type="spellEnd"/>
      <w:r w:rsidR="00B33DE6" w:rsidRPr="008E17C9">
        <w:rPr>
          <w:highlight w:val="yellow"/>
        </w:rPr>
        <w:t xml:space="preserve"> </w:t>
      </w:r>
      <w:proofErr w:type="spellStart"/>
      <w:r w:rsidR="00B33DE6" w:rsidRPr="008E17C9">
        <w:rPr>
          <w:highlight w:val="yellow"/>
        </w:rPr>
        <w:t>Fundation</w:t>
      </w:r>
      <w:proofErr w:type="spellEnd"/>
      <w:r>
        <w:t xml:space="preserve"> </w:t>
      </w:r>
      <w:r w:rsidRPr="008E17C9">
        <w:rPr>
          <w:b/>
          <w:color w:val="FF0000"/>
          <w:highlight w:val="yellow"/>
        </w:rPr>
        <w:t xml:space="preserve">ESTO YO LO </w:t>
      </w:r>
      <w:proofErr w:type="spellStart"/>
      <w:r w:rsidRPr="008E17C9">
        <w:rPr>
          <w:b/>
          <w:color w:val="FF0000"/>
          <w:highlight w:val="yellow"/>
        </w:rPr>
        <w:t>SACArÏA</w:t>
      </w:r>
      <w:proofErr w:type="spellEnd"/>
      <w:r w:rsidRPr="008E17C9">
        <w:rPr>
          <w:b/>
          <w:color w:val="FF0000"/>
          <w:highlight w:val="yellow"/>
        </w:rPr>
        <w:t xml:space="preserve"> porque todavía no sabes que chota es eso es demasiado </w:t>
      </w:r>
      <w:proofErr w:type="spellStart"/>
      <w:r w:rsidRPr="008E17C9">
        <w:rPr>
          <w:b/>
          <w:color w:val="FF0000"/>
          <w:highlight w:val="yellow"/>
        </w:rPr>
        <w:t>especifico</w:t>
      </w:r>
      <w:proofErr w:type="spellEnd"/>
      <w:r w:rsidRPr="008E17C9">
        <w:rPr>
          <w:b/>
          <w:color w:val="FF0000"/>
          <w:highlight w:val="yellow"/>
        </w:rPr>
        <w:t xml:space="preserve"> para una </w:t>
      </w:r>
      <w:proofErr w:type="spellStart"/>
      <w:r w:rsidRPr="008E17C9">
        <w:rPr>
          <w:b/>
          <w:color w:val="FF0000"/>
          <w:highlight w:val="yellow"/>
        </w:rPr>
        <w:t>intro</w:t>
      </w:r>
      <w:proofErr w:type="spellEnd"/>
      <w:r w:rsidR="00B33DE6">
        <w:t xml:space="preserve">, </w:t>
      </w:r>
      <w:r w:rsidR="00AF42C6">
        <w:t>para ello nos basaremos principalmente en la bibliografía sugerida por la cátedra de Ingeniería de Software de la carrera de Ingeniería en Sistemas de Información (en pa</w:t>
      </w:r>
      <w:r w:rsidR="00B33DE6">
        <w:t xml:space="preserve">rticular, usaremos CMMI-DEV,V1.3 -Software </w:t>
      </w:r>
      <w:proofErr w:type="spellStart"/>
      <w:r w:rsidR="00B33DE6">
        <w:t>Engineering</w:t>
      </w:r>
      <w:proofErr w:type="spellEnd"/>
      <w:r w:rsidR="00B33DE6">
        <w:t xml:space="preserve"> </w:t>
      </w:r>
      <w:proofErr w:type="spellStart"/>
      <w:r w:rsidR="00B33DE6">
        <w:t>Institute</w:t>
      </w:r>
      <w:proofErr w:type="spellEnd"/>
      <w:r w:rsidR="00AF42C6">
        <w:t>)</w:t>
      </w:r>
      <w:r w:rsidR="001B4E6C">
        <w:t>.</w:t>
      </w:r>
      <w:bookmarkStart w:id="2" w:name="_GoBack"/>
      <w:bookmarkEnd w:id="2"/>
    </w:p>
    <w:p w:rsidR="002931CE" w:rsidRDefault="00AF42C6">
      <w:pPr>
        <w:tabs>
          <w:tab w:val="left" w:pos="425"/>
        </w:tabs>
        <w:rPr>
          <w:color w:val="FF0000"/>
        </w:rPr>
      </w:pPr>
      <w:r>
        <w:t>Se intentará desarrollar los elementos claves del modelo de evalu</w:t>
      </w:r>
      <w:r w:rsidR="00B33DE6">
        <w:t>ación y mejora de procesos CMMI-DEV</w:t>
      </w:r>
      <w:proofErr w:type="gramStart"/>
      <w:r w:rsidR="00B33DE6">
        <w:t>,V1.3</w:t>
      </w:r>
      <w:proofErr w:type="gramEnd"/>
      <w:r w:rsidR="00B33DE6">
        <w:t xml:space="preserve">  </w:t>
      </w:r>
      <w:r>
        <w:t xml:space="preserve">, </w:t>
      </w:r>
      <w:r w:rsidRPr="00B33DE6">
        <w:rPr>
          <w:color w:val="FF0000"/>
        </w:rPr>
        <w:t>teniendo especial consideración en la forma en que se realizan dichos procedimientos. Daremos también una opinión personal y una apreciación acerca de la utilidad que se le da en las organizaciones.</w:t>
      </w:r>
    </w:p>
    <w:p w:rsidR="002931CE" w:rsidRDefault="002931CE">
      <w:pPr>
        <w:ind w:firstLine="0"/>
      </w:pPr>
    </w:p>
    <w:p w:rsidR="00AB6110" w:rsidRDefault="0010638C" w:rsidP="0010638C">
      <w:pPr>
        <w:pStyle w:val="Ttulo1"/>
      </w:pPr>
      <w:bookmarkStart w:id="3" w:name="_gzsmidowzm5a" w:colFirst="0" w:colLast="0"/>
      <w:bookmarkEnd w:id="3"/>
      <w:r>
        <w:lastRenderedPageBreak/>
        <w:t xml:space="preserve">2 </w:t>
      </w:r>
      <w:r w:rsidR="00A83EEA">
        <w:t>¿Qué es CMMI</w:t>
      </w:r>
      <w:r w:rsidR="00AF42C6">
        <w:t>?</w:t>
      </w:r>
    </w:p>
    <w:p w:rsidR="0010638C" w:rsidRPr="0010638C" w:rsidRDefault="0010638C" w:rsidP="0010638C"/>
    <w:p w:rsidR="00D514F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Estos modelos son desarrollados por equipos de producto 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3 Evolución de</w:t>
      </w:r>
      <w:r w:rsidR="00EA2FEB">
        <w:t>l</w:t>
      </w:r>
      <w:r>
        <w:t xml:space="preserve">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estaban siendo planificados. Debido a 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lastRenderedPageBreak/>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Pr="004374EF">
        <w:rPr>
          <w:lang w:val="es-AR"/>
        </w:rPr>
        <w:t>versión 1.2.</w:t>
      </w:r>
      <w:r>
        <w:rPr>
          <w:lang w:val="es-AR"/>
        </w:rPr>
        <w:t xml:space="preserve"> </w:t>
      </w:r>
      <w:proofErr w:type="gramStart"/>
      <w:r>
        <w:rPr>
          <w:lang w:val="es-AR"/>
        </w:rPr>
        <w:t>del</w:t>
      </w:r>
      <w:proofErr w:type="gramEnd"/>
      <w:r>
        <w:rPr>
          <w:lang w:val="es-AR"/>
        </w:rPr>
        <w:t xml:space="preserve">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Pr>
          <w:highlight w:val="white"/>
        </w:rPr>
        <w:t>Figura 1 ilustra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A806B5" w:rsidP="002425B9">
      <w:pPr>
        <w:pStyle w:val="Ttulo1"/>
      </w:pPr>
      <w:r>
        <w:t>4</w:t>
      </w:r>
      <w:r w:rsidR="002425B9">
        <w:tab/>
        <w:t>Marco CMMI</w:t>
      </w:r>
    </w:p>
    <w:p w:rsidR="00E0687B" w:rsidRDefault="00E0687B" w:rsidP="00E0687B"/>
    <w:p w:rsidR="008028CC" w:rsidRDefault="008028CC" w:rsidP="008028CC">
      <w:r>
        <w:t>El marco CMMI proporciona la estructura para crear los modelos</w:t>
      </w:r>
      <w:r>
        <w:t>,</w:t>
      </w:r>
      <w:r>
        <w:t xml:space="preserve"> la formación y los componentes de evaluación de CMMI. </w:t>
      </w:r>
    </w:p>
    <w:p w:rsidR="008028CC" w:rsidRDefault="008028CC" w:rsidP="008028CC">
      <w:r>
        <w:t>Los componentes de los modelos pueden clasificarse</w:t>
      </w:r>
      <w:r>
        <w:t xml:space="preserve"> como comunes a todos los modelos CMMI</w:t>
      </w:r>
      <w:r>
        <w:t xml:space="preserve"> (</w:t>
      </w:r>
      <w:r>
        <w:t>denomina</w:t>
      </w:r>
      <w:r w:rsidR="00755286">
        <w:t>dos</w:t>
      </w:r>
      <w:r>
        <w:t xml:space="preserve"> “</w:t>
      </w:r>
      <w:r>
        <w:t xml:space="preserve">CMMI </w:t>
      </w:r>
      <w:proofErr w:type="spellStart"/>
      <w:r>
        <w:t>Model</w:t>
      </w:r>
      <w:proofErr w:type="spellEnd"/>
      <w:r>
        <w:t xml:space="preserve"> </w:t>
      </w:r>
      <w:proofErr w:type="spellStart"/>
      <w:r>
        <w:t>Foundation</w:t>
      </w:r>
      <w:proofErr w:type="spellEnd"/>
      <w:r>
        <w:t>” o “CMF”)</w:t>
      </w:r>
      <w:r>
        <w:t xml:space="preserve"> o aplicables a un modelo específico. </w:t>
      </w:r>
    </w:p>
    <w:p w:rsidR="00E0687B" w:rsidRPr="00E0687B" w:rsidRDefault="008028CC" w:rsidP="008028CC">
      <w:pPr>
        <w:rPr>
          <w:lang w:val="es-AR"/>
        </w:rPr>
      </w:pPr>
      <w:r>
        <w:t>Los componentes del CMF son parte de todos los modelos gen</w:t>
      </w:r>
      <w:r>
        <w:t>erados a partir del marco CMMI.</w:t>
      </w:r>
    </w:p>
    <w:p w:rsidR="008028CC" w:rsidRPr="008028CC" w:rsidRDefault="008028CC" w:rsidP="00091F5F">
      <w:pPr>
        <w:ind w:firstLine="0"/>
        <w:rPr>
          <w:highlight w:val="white"/>
          <w:lang w:val="es-AR"/>
        </w:rPr>
      </w:pPr>
    </w:p>
    <w:p w:rsidR="008028CC" w:rsidRDefault="008028CC" w:rsidP="008028CC">
      <w:pPr>
        <w:pStyle w:val="Ttulo1"/>
      </w:pPr>
      <w:r>
        <w:t>4</w:t>
      </w:r>
      <w:r>
        <w:t>.1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Default="008028CC" w:rsidP="008028CC"/>
    <w:p w:rsidR="008028CC" w:rsidRPr="008028CC" w:rsidRDefault="008028CC" w:rsidP="008028CC"/>
    <w:p w:rsidR="002425B9" w:rsidRPr="00D514F1" w:rsidRDefault="00A13E15" w:rsidP="00D514F1">
      <w:pPr>
        <w:ind w:firstLine="0"/>
        <w:rPr>
          <w:highlight w:val="white"/>
        </w:rPr>
      </w:pPr>
      <w:r>
        <w:rPr>
          <w:noProof/>
          <w:lang w:eastAsia="es-ES"/>
        </w:rPr>
        <w:lastRenderedPageBreak/>
        <w:drawing>
          <wp:inline distT="0" distB="0" distL="0" distR="0">
            <wp:extent cx="2847340" cy="1527175"/>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27175"/>
                    </a:xfrm>
                    <a:prstGeom prst="rect">
                      <a:avLst/>
                    </a:prstGeom>
                  </pic:spPr>
                </pic:pic>
              </a:graphicData>
            </a:graphic>
          </wp:inline>
        </w:drawing>
      </w:r>
    </w:p>
    <w:p w:rsidR="001B4E6C" w:rsidRDefault="001B4E6C" w:rsidP="001B4E6C">
      <w:pPr>
        <w:ind w:firstLine="0"/>
        <w:rPr>
          <w:highlight w:val="white"/>
        </w:rPr>
      </w:pPr>
      <w:r>
        <w:rPr>
          <w:highlight w:val="white"/>
        </w:rPr>
        <w:t>Figura 2</w:t>
      </w:r>
      <w:r>
        <w:rPr>
          <w:highlight w:val="white"/>
        </w:rPr>
        <w:t xml:space="preserve"> ilustra l</w:t>
      </w:r>
      <w:r>
        <w:rPr>
          <w:highlight w:val="white"/>
        </w:rPr>
        <w:t>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 De esas áreas de proceso,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A806B5">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pPr>
    </w:p>
    <w:p w:rsidR="002931CE" w:rsidRDefault="002931CE">
      <w:pPr>
        <w:ind w:firstLine="0"/>
        <w:rPr>
          <w:highlight w:val="white"/>
        </w:rPr>
      </w:pPr>
    </w:p>
    <w:p w:rsidR="002931CE" w:rsidRDefault="0065768F">
      <w:pPr>
        <w:pStyle w:val="Ttulo1"/>
      </w:pPr>
      <w:bookmarkStart w:id="4" w:name="_u77zlsrdyq6h" w:colFirst="0" w:colLast="0"/>
      <w:bookmarkEnd w:id="4"/>
      <w:r>
        <w:t>6</w:t>
      </w:r>
      <w:r w:rsidR="00AF42C6">
        <w:tab/>
        <w:t>¿Qué componentes lo conforman?</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340A35" w:rsidRDefault="00340A35" w:rsidP="00340A35">
      <w:pPr>
        <w:pStyle w:val="Ttulo2"/>
        <w:ind w:left="0" w:firstLine="0"/>
      </w:pPr>
      <w:r>
        <w:t>6.1 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para lograr la mejora de 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lastRenderedPageBreak/>
        <w:t>6.2 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6.3 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 xml:space="preserve">Áreas de proceso </w:t>
      </w:r>
      <w:proofErr w:type="gramStart"/>
      <w:r>
        <w:rPr>
          <w:lang w:val="es-AR"/>
        </w:rPr>
        <w:t>relacionada</w:t>
      </w:r>
      <w:proofErr w:type="gramEnd"/>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proofErr w:type="gramStart"/>
      <w:r>
        <w:rPr>
          <w:lang w:val="es-AR"/>
        </w:rPr>
        <w:t>practicas</w:t>
      </w:r>
      <w:proofErr w:type="gramEnd"/>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lastRenderedPageBreak/>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7 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53040F" w:rsidRPr="00AA2258" w:rsidRDefault="0053040F" w:rsidP="0053040F">
      <w:pPr>
        <w:pStyle w:val="Ttulo1"/>
        <w:rPr>
          <w:sz w:val="22"/>
        </w:rPr>
      </w:pPr>
      <w:r>
        <w:rPr>
          <w:sz w:val="22"/>
        </w:rPr>
        <w:t>7</w:t>
      </w:r>
      <w:r w:rsidRPr="00AA2258">
        <w:rPr>
          <w:sz w:val="22"/>
        </w:rPr>
        <w:t xml:space="preserve">.1 </w:t>
      </w:r>
      <w:r>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132BED">
      <w:r>
        <w:rPr>
          <w:noProof/>
          <w:lang w:eastAsia="es-E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53040F">
        <w:t xml:space="preserve">Métodos de evaluación por </w:t>
      </w:r>
      <w:r w:rsidR="00F67279">
        <w:t xml:space="preserve">Niveles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B260C3"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drawing>
          <wp:inline distT="114300" distB="114300" distL="114300" distR="114300" wp14:anchorId="1828195F" wp14:editId="55621EC3">
            <wp:extent cx="2846720" cy="196769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850563" cy="1970353"/>
                    </a:xfrm>
                    <a:prstGeom prst="rect">
                      <a:avLst/>
                    </a:prstGeom>
                    <a:ln/>
                  </pic:spPr>
                </pic:pic>
              </a:graphicData>
            </a:graphic>
          </wp:inline>
        </w:drawing>
      </w:r>
    </w:p>
    <w:p w:rsidR="00AA2258" w:rsidRDefault="008028CC" w:rsidP="00AA2258">
      <w:pPr>
        <w:spacing w:after="120" w:line="240" w:lineRule="atLeast"/>
      </w:pPr>
      <w:r>
        <w:t>Figura 5</w:t>
      </w:r>
      <w:r w:rsidR="00AA2258">
        <w:t xml:space="preserve"> </w:t>
      </w:r>
      <w:r w:rsidR="00B260C3" w:rsidRPr="00AA2258">
        <w:t>Niveles de Madurez</w:t>
      </w:r>
      <w:r w:rsidR="00AA2258">
        <w:t xml:space="preserve"> del modelo</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se garantiza que en los proyectos los procesos se planifican y ejecutan de acuerdo con las políticas; los proyectos emplean personal cualificado que dispone de recursos adecuados para producir resultados 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w:t>
      </w:r>
      <w:r w:rsidR="00067691" w:rsidRPr="00067691">
        <w:lastRenderedPageBreak/>
        <w:t>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t xml:space="preserve">Nivel 5: Optimizado, En </w:t>
      </w:r>
      <w:r>
        <w:t xml:space="preserve">este nivel, </w:t>
      </w:r>
      <w:r w:rsidRPr="00AD0AD9">
        <w:t xml:space="preserve">una organización ha alcanzado todos los objetivos específicos de las áreas de proceso asignadas a los niveles 2,3,4 y 5 y las metas genéricas de los niveles 2 y 3. Los procesos se mejoran </w:t>
      </w:r>
      <w:r w:rsidRPr="00AD0AD9">
        <w:lastRenderedPageBreak/>
        <w:t>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CF7A0E" w:rsidRPr="00CF7A0E" w:rsidRDefault="00CF7A0E" w:rsidP="00CF7A0E">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p>
    <w:p w:rsidR="00AD0AD9" w:rsidRPr="00CF7A0E" w:rsidRDefault="00CF7A0E" w:rsidP="00CF7A0E">
      <w:pPr>
        <w:pStyle w:val="Prrafodelista"/>
        <w:spacing w:after="120" w:line="240" w:lineRule="atLeast"/>
        <w:ind w:left="785"/>
      </w:pPr>
      <w:proofErr w:type="gramStart"/>
      <w:r w:rsidRPr="00CF7A0E">
        <w:t>estadísticas</w:t>
      </w:r>
      <w:proofErr w:type="gramEnd"/>
      <w:r w:rsidRPr="00CF7A0E">
        <w:t xml:space="preserve"> y otras técnicas cuant</w:t>
      </w:r>
      <w:r>
        <w:t xml:space="preserve">itativas, y se comparan con los </w:t>
      </w:r>
      <w:r w:rsidRPr="00CF7A0E">
        <w:t xml:space="preserve">objetivos de calidad y de rendimiento del </w:t>
      </w:r>
      <w:proofErr w:type="spellStart"/>
      <w:r w:rsidRPr="00CF7A0E">
        <w:t>proceso</w:t>
      </w:r>
      <w:r w:rsidR="00AD0AD9" w:rsidRPr="00CF7A0E">
        <w:t>la</w:t>
      </w:r>
      <w:proofErr w:type="spellEnd"/>
      <w:r w:rsidR="00AD0AD9" w:rsidRPr="00CF7A0E">
        <w:t xml:space="preserve">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Niveles de</w:t>
      </w:r>
      <w:r w:rsidR="00CF7A0E">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 xml:space="preserve">proceso que se mantiene y que </w:t>
      </w:r>
      <w:r w:rsidRPr="00CF7A0E">
        <w:lastRenderedPageBreak/>
        <w:t>contribuye a los activos de proceso de</w:t>
      </w:r>
      <w:r>
        <w:t xml:space="preserve"> </w:t>
      </w:r>
      <w:r w:rsidRPr="00CF7A0E">
        <w:t>la organización con experiencias relativas a procesos</w:t>
      </w:r>
    </w:p>
    <w:p w:rsidR="00AD0AD9" w:rsidRPr="00DE70B9" w:rsidRDefault="0053040F" w:rsidP="00DE70B9">
      <w:pPr>
        <w:spacing w:after="120" w:line="240" w:lineRule="atLeast"/>
        <w:ind w:left="720" w:firstLine="0"/>
      </w:pPr>
      <w:r>
        <w:rPr>
          <w:noProof/>
          <w:lang w:eastAsia="es-ES"/>
        </w:rPr>
        <w:drawing>
          <wp:inline distT="0" distB="0" distL="0" distR="0">
            <wp:extent cx="2710815" cy="1513205"/>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710815" cy="1513205"/>
                    </a:xfrm>
                    <a:prstGeom prst="rect">
                      <a:avLst/>
                    </a:prstGeom>
                    <a:noFill/>
                    <a:ln>
                      <a:noFill/>
                    </a:ln>
                    <a:extLst>
                      <a:ext uri="{53640926-AAD7-44D8-BBD7-CCE9431645EC}">
                        <a14:shadowObscured xmlns:a14="http://schemas.microsoft.com/office/drawing/2010/main"/>
                      </a:ext>
                    </a:extLst>
                  </pic:spPr>
                </pic:pic>
              </a:graphicData>
            </a:graphic>
          </wp:inline>
        </w:drawing>
      </w:r>
      <w:r w:rsidR="00DE70B9">
        <w:t xml:space="preserve">Tabla 1 </w:t>
      </w:r>
      <w:r w:rsidR="00DE70B9" w:rsidRPr="00DE70B9">
        <w:rPr>
          <w:lang w:val="es-AR"/>
        </w:rPr>
        <w:t>compara los cuatro niveles de capacidad con los cinco niveles de madurez.</w:t>
      </w:r>
    </w:p>
    <w:p w:rsidR="00AD0AD9" w:rsidRPr="00DE70B9" w:rsidRDefault="00AD0AD9" w:rsidP="00AD0AD9">
      <w:pPr>
        <w:pStyle w:val="Prrafodelista"/>
        <w:spacing w:after="120" w:line="240" w:lineRule="atLeast"/>
        <w:ind w:left="785" w:firstLine="0"/>
      </w:pPr>
    </w:p>
    <w:p w:rsidR="00AD0AD9" w:rsidRPr="00CF7A0E" w:rsidRDefault="00AD0AD9" w:rsidP="00AD0AD9">
      <w:pPr>
        <w:pStyle w:val="Prrafodelista"/>
        <w:spacing w:after="120" w:line="240" w:lineRule="atLeast"/>
        <w:ind w:left="785" w:firstLine="0"/>
      </w:pPr>
    </w:p>
    <w:p w:rsidR="00B260C3" w:rsidRPr="00CF7A0E" w:rsidRDefault="00AA2258" w:rsidP="00AA2258">
      <w:pPr>
        <w:spacing w:after="120" w:line="240" w:lineRule="atLeast"/>
        <w:ind w:left="-114" w:firstLine="0"/>
      </w:pPr>
      <w:r w:rsidRPr="00CF7A0E">
        <w:t xml:space="preserve"> </w:t>
      </w:r>
    </w:p>
    <w:p w:rsidR="002931CE" w:rsidRPr="00CF7A0E" w:rsidRDefault="002931CE">
      <w:pPr>
        <w:ind w:firstLine="0"/>
      </w:pPr>
    </w:p>
    <w:p w:rsidR="002931CE" w:rsidRDefault="0053040F">
      <w:pPr>
        <w:pStyle w:val="Ttulo1"/>
      </w:pPr>
      <w:bookmarkStart w:id="6" w:name="_xekopbkcj8fc" w:colFirst="0" w:colLast="0"/>
      <w:bookmarkEnd w:id="6"/>
      <w:r>
        <w:t>9 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9.1 Gestión de Procesos</w:t>
      </w:r>
    </w:p>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t xml:space="preserve">Formación en la </w:t>
      </w:r>
      <w:r w:rsidR="00BC58AE">
        <w:t>Organización.</w:t>
      </w:r>
    </w:p>
    <w:p w:rsidR="00BF69DC" w:rsidRPr="00BF69DC" w:rsidRDefault="00BF69DC" w:rsidP="00BF69DC"/>
    <w:p w:rsidR="00BF69DC" w:rsidRDefault="00BF69DC" w:rsidP="00BF69DC">
      <w:pPr>
        <w:pStyle w:val="Ttulo2"/>
        <w:ind w:left="0" w:firstLine="0"/>
      </w:pPr>
      <w:r>
        <w:t>9.2 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 xml:space="preserve">gestión del proyecto </w:t>
      </w:r>
      <w:r w:rsidRPr="00BC58AE">
        <w:rPr>
          <w:lang w:val="es-AR"/>
        </w:rPr>
        <w:lastRenderedPageBreak/>
        <w:t>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9.3 Ingeniería</w:t>
      </w:r>
    </w:p>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9.4 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¿Cómo aplicar CMMI en una organización?</w:t>
      </w:r>
    </w:p>
    <w:p w:rsidR="00772CCF" w:rsidRPr="00D142C9" w:rsidRDefault="00772CCF" w:rsidP="00772CCF">
      <w:pPr>
        <w:rPr>
          <w:color w:val="FF0000"/>
        </w:rPr>
      </w:pPr>
      <w:r w:rsidRPr="00D142C9">
        <w:rPr>
          <w:color w:val="FF0000"/>
        </w:rPr>
        <w:t xml:space="preserve">Ver </w:t>
      </w:r>
      <w:proofErr w:type="gramStart"/>
      <w:r w:rsidRPr="00D142C9">
        <w:rPr>
          <w:color w:val="FF0000"/>
        </w:rPr>
        <w:t>resumen</w:t>
      </w:r>
      <w:proofErr w:type="gramEnd"/>
      <w:r w:rsidRPr="00D142C9">
        <w:rPr>
          <w:color w:val="FF0000"/>
        </w:rPr>
        <w:t xml:space="preserve"> completo</w:t>
      </w:r>
      <w:r w:rsidR="00D142C9" w:rsidRPr="00D142C9">
        <w:rPr>
          <w:color w:val="FF0000"/>
        </w:rPr>
        <w:t xml:space="preserve"> </w:t>
      </w:r>
      <w:proofErr w:type="spellStart"/>
      <w:r w:rsidR="00D142C9" w:rsidRPr="00D142C9">
        <w:rPr>
          <w:color w:val="FF0000"/>
        </w:rPr>
        <w:t>pag</w:t>
      </w:r>
      <w:proofErr w:type="spellEnd"/>
      <w:r w:rsidR="00D142C9" w:rsidRPr="00D142C9">
        <w:rPr>
          <w:color w:val="FF0000"/>
        </w:rPr>
        <w:t xml:space="preserve"> 21</w:t>
      </w:r>
    </w:p>
    <w:p w:rsidR="00772CCF" w:rsidRPr="00772CCF" w:rsidRDefault="00772CCF" w:rsidP="00772CCF"/>
    <w:p w:rsidR="00772CCF" w:rsidRPr="00CF7A0E" w:rsidRDefault="00772CCF" w:rsidP="00772CCF">
      <w:pPr>
        <w:pStyle w:val="Ttulo1"/>
      </w:pPr>
      <w:bookmarkStart w:id="8" w:name="_gnz6pxjdh5uo" w:colFirst="0" w:colLast="0"/>
      <w:bookmarkEnd w:id="8"/>
      <w:r>
        <w:lastRenderedPageBreak/>
        <w:t xml:space="preserve">11 </w:t>
      </w:r>
    </w:p>
    <w:p w:rsidR="002931CE" w:rsidRPr="00CF7A0E" w:rsidRDefault="002931CE">
      <w:pPr>
        <w:ind w:firstLine="0"/>
      </w:pPr>
    </w:p>
    <w:p w:rsidR="002931CE" w:rsidRPr="00CF7A0E" w:rsidRDefault="002931CE">
      <w:pPr>
        <w:ind w:firstLine="0"/>
        <w:jc w:val="center"/>
      </w:pPr>
    </w:p>
    <w:p w:rsidR="002931CE" w:rsidRPr="00CF7A0E" w:rsidRDefault="002931CE"/>
    <w:p w:rsidR="002931CE" w:rsidRPr="00CF7A0E" w:rsidRDefault="00772CCF">
      <w:pPr>
        <w:pStyle w:val="Ttulo1"/>
      </w:pPr>
      <w:bookmarkStart w:id="9" w:name="_sgsljj6qsmtz" w:colFirst="0" w:colLast="0"/>
      <w:bookmarkEnd w:id="9"/>
      <w:r>
        <w:t xml:space="preserve">12 </w:t>
      </w:r>
      <w:r w:rsidR="00AF42C6" w:rsidRPr="00CF7A0E">
        <w:t>¿Qué ventajas y desventajas provee?</w:t>
      </w:r>
    </w:p>
    <w:p w:rsidR="002931CE" w:rsidRPr="00CF7A0E" w:rsidRDefault="002931CE">
      <w:pPr>
        <w:ind w:firstLine="0"/>
      </w:pPr>
    </w:p>
    <w:p w:rsidR="002931CE" w:rsidRPr="00CF7A0E" w:rsidRDefault="0065768F">
      <w:pPr>
        <w:pStyle w:val="Ttulo2"/>
        <w:ind w:left="0" w:firstLine="0"/>
      </w:pPr>
      <w:bookmarkStart w:id="10" w:name="_k3legpds0s6w" w:colFirst="0" w:colLast="0"/>
      <w:bookmarkEnd w:id="10"/>
      <w:r w:rsidRPr="00CF7A0E">
        <w:t>12</w:t>
      </w:r>
      <w:r w:rsidR="00AF42C6" w:rsidRPr="00CF7A0E">
        <w:t>.1</w:t>
      </w:r>
      <w:r w:rsidR="00AF42C6" w:rsidRPr="00CF7A0E">
        <w:tab/>
        <w:t>Ventajas</w:t>
      </w:r>
    </w:p>
    <w:p w:rsidR="002931CE" w:rsidRPr="00CF7A0E" w:rsidRDefault="002931CE"/>
    <w:p w:rsidR="002931CE" w:rsidRPr="00CF7A0E" w:rsidRDefault="00AF42C6" w:rsidP="00772CCF">
      <w:pPr>
        <w:pStyle w:val="Ttulo2"/>
        <w:numPr>
          <w:ilvl w:val="1"/>
          <w:numId w:val="39"/>
        </w:numPr>
      </w:pPr>
      <w:bookmarkStart w:id="11" w:name="_bc3ybli51c3" w:colFirst="0" w:colLast="0"/>
      <w:bookmarkEnd w:id="11"/>
      <w:r w:rsidRPr="00CF7A0E">
        <w:t>Desventajas</w:t>
      </w:r>
    </w:p>
    <w:p w:rsidR="00772CCF" w:rsidRDefault="00772CCF" w:rsidP="00772CCF">
      <w:pPr>
        <w:ind w:firstLine="0"/>
        <w:contextualSpacing/>
      </w:pPr>
    </w:p>
    <w:p w:rsidR="00772CCF" w:rsidRDefault="00772CCF" w:rsidP="00772CCF">
      <w:pPr>
        <w:ind w:firstLine="0"/>
        <w:contextualSpacing/>
      </w:pPr>
    </w:p>
    <w:p w:rsidR="00772CCF" w:rsidRDefault="00772CCF" w:rsidP="00772CCF">
      <w:pPr>
        <w:pStyle w:val="Ttulo1"/>
        <w:numPr>
          <w:ilvl w:val="0"/>
          <w:numId w:val="39"/>
        </w:numP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 xml:space="preserve">Sprint </w:t>
            </w:r>
            <w:proofErr w:type="spellStart"/>
            <w:r>
              <w:t>planning</w:t>
            </w:r>
            <w:proofErr w:type="spellEnd"/>
          </w:p>
          <w:p w:rsidR="00772CCF" w:rsidRDefault="00772CCF" w:rsidP="00772CCF">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772CCF">
            <w:pPr>
              <w:widowControl w:val="0"/>
              <w:numPr>
                <w:ilvl w:val="0"/>
                <w:numId w:val="41"/>
              </w:numPr>
              <w:contextualSpacing/>
              <w:jc w:val="left"/>
            </w:pPr>
            <w:proofErr w:type="spellStart"/>
            <w:r>
              <w:t>Daily</w:t>
            </w:r>
            <w:proofErr w:type="spellEnd"/>
            <w:r>
              <w:t xml:space="preserve">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proofErr w:type="spellStart"/>
            <w:r>
              <w:t>Daily</w:t>
            </w:r>
            <w:proofErr w:type="spellEnd"/>
            <w:r>
              <w:t xml:space="preserve"> meeting</w:t>
            </w:r>
          </w:p>
          <w:p w:rsidR="00772CCF" w:rsidRDefault="00772CCF" w:rsidP="00772CCF">
            <w:pPr>
              <w:widowControl w:val="0"/>
              <w:numPr>
                <w:ilvl w:val="0"/>
                <w:numId w:val="42"/>
              </w:numPr>
              <w:contextualSpacing/>
              <w:jc w:val="left"/>
            </w:pPr>
            <w:proofErr w:type="spellStart"/>
            <w:r>
              <w:t>Review</w:t>
            </w:r>
            <w:proofErr w:type="spellEnd"/>
          </w:p>
          <w:p w:rsidR="00772CCF" w:rsidRDefault="00772CCF" w:rsidP="00772CCF">
            <w:pPr>
              <w:widowControl w:val="0"/>
              <w:numPr>
                <w:ilvl w:val="0"/>
                <w:numId w:val="42"/>
              </w:numPr>
              <w:contextualSpacing/>
              <w:jc w:val="left"/>
            </w:pPr>
            <w:proofErr w:type="spellStart"/>
            <w:r>
              <w:t>Retrospective</w:t>
            </w:r>
            <w:proofErr w:type="spellEnd"/>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proofErr w:type="spellStart"/>
            <w:r>
              <w:t>Daily</w:t>
            </w:r>
            <w:proofErr w:type="spellEnd"/>
            <w:r>
              <w:t xml:space="preserve">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proofErr w:type="spellStart"/>
            <w:r>
              <w:t>Configuration</w:t>
            </w:r>
            <w:proofErr w:type="spellEnd"/>
            <w:r>
              <w:t xml:space="preserve"> </w:t>
            </w:r>
            <w:proofErr w:type="spellStart"/>
            <w:r>
              <w:t>management</w:t>
            </w:r>
            <w:proofErr w:type="spellEnd"/>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proofErr w:type="spellStart"/>
            <w:r>
              <w:t>Daily</w:t>
            </w:r>
            <w:proofErr w:type="spellEnd"/>
            <w:r>
              <w:t xml:space="preserve"> meeting</w:t>
            </w:r>
          </w:p>
          <w:p w:rsidR="00772CCF" w:rsidRDefault="00772CCF" w:rsidP="00772CCF">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w:t>
      </w:r>
      <w:r w:rsidRPr="00772CCF">
        <w:rPr>
          <w:color w:val="FF0000"/>
        </w:rPr>
        <w:lastRenderedPageBreak/>
        <w:t xml:space="preserve">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2" w:name="_1osaa0kxr5jt" w:colFirst="0" w:colLast="0"/>
      <w:bookmarkEnd w:id="12"/>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3" w:name="_flst85rav7oe" w:colFirst="0" w:colLast="0"/>
      <w:bookmarkEnd w:id="13"/>
      <w:r>
        <w:t>15</w:t>
      </w:r>
      <w:r w:rsidR="00AF42C6">
        <w:tab/>
        <w:t>Conclusiones</w:t>
      </w:r>
    </w:p>
    <w:p w:rsidR="002931CE" w:rsidRDefault="002931CE"/>
    <w:p w:rsidR="002931CE" w:rsidRDefault="002931CE"/>
    <w:p w:rsidR="002931CE" w:rsidRDefault="00772CCF">
      <w:pPr>
        <w:pStyle w:val="Ttulo1"/>
        <w:ind w:firstLine="0"/>
      </w:pPr>
      <w:bookmarkStart w:id="14" w:name="_igqyo05d1sbe" w:colFirst="0" w:colLast="0"/>
      <w:bookmarkEnd w:id="14"/>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2B369B"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proofErr w:type="gramStart"/>
      <w:r>
        <w:rPr>
          <w:rFonts w:ascii="Berkeley-Medium" w:hAnsi="Berkeley-Medium" w:cs="Berkeley-Medium"/>
          <w:sz w:val="16"/>
          <w:szCs w:val="16"/>
          <w:lang w:val="en-US"/>
        </w:rPr>
        <w:t>2011a, SEI 2011b].</w:t>
      </w:r>
      <w:proofErr w:type="gramEnd"/>
    </w:p>
    <w:p w:rsidR="002931CE" w:rsidRPr="002B369B" w:rsidRDefault="002931CE">
      <w:pPr>
        <w:ind w:firstLine="284"/>
        <w:rPr>
          <w:lang w:val="es-AR"/>
        </w:rPr>
      </w:pPr>
    </w:p>
    <w:sectPr w:rsidR="002931CE" w:rsidRPr="002B369B" w:rsidSect="00DE0105">
      <w:type w:val="continuous"/>
      <w:pgSz w:w="12240" w:h="15840"/>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B05" w:rsidRDefault="00F02B05">
      <w:r>
        <w:separator/>
      </w:r>
    </w:p>
  </w:endnote>
  <w:endnote w:type="continuationSeparator" w:id="0">
    <w:p w:rsidR="00F02B05" w:rsidRDefault="00F02B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10638C" w:rsidP="0010638C">
    <w:pPr>
      <w:tabs>
        <w:tab w:val="center" w:pos="4419"/>
        <w:tab w:val="right" w:pos="8838"/>
      </w:tabs>
      <w:ind w:firstLine="0"/>
      <w:jc w:val="left"/>
      <w:rPr>
        <w:rFonts w:ascii="Times New Roman" w:eastAsia="Times New Roman" w:hAnsi="Times New Roman" w:cs="Times New Roman"/>
        <w:sz w:val="24"/>
        <w:szCs w:val="24"/>
      </w:rPr>
    </w:pPr>
    <w:r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1B4E6C">
                            <w:rPr>
                              <w:b/>
                              <w:noProof/>
                              <w:color w:val="1F4E79" w:themeColor="accent1" w:themeShade="80"/>
                              <w:sz w:val="24"/>
                              <w:szCs w:val="24"/>
                            </w:rPr>
                            <w:t>1</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1B4E6C">
                      <w:rPr>
                        <w:b/>
                        <w:noProof/>
                        <w:color w:val="1F4E79" w:themeColor="accent1" w:themeShade="80"/>
                        <w:sz w:val="24"/>
                        <w:szCs w:val="24"/>
                      </w:rPr>
                      <w:t>1</w:t>
                    </w:r>
                    <w:r w:rsidRPr="00B8635C">
                      <w:rPr>
                        <w:b/>
                        <w:color w:val="1F4E79" w:themeColor="accent1" w:themeShade="80"/>
                        <w:sz w:val="24"/>
                        <w:szCs w:val="24"/>
                      </w:rPr>
                      <w:fldChar w:fldCharType="end"/>
                    </w:r>
                  </w:p>
                </w:txbxContent>
              </v:textbox>
            </v:shape>
          </w:pict>
        </mc:Fallback>
      </mc:AlternateContent>
    </w:r>
    <w:r>
      <w:rPr>
        <w:rFonts w:ascii="Times New Roman" w:eastAsia="Times New Roman" w:hAnsi="Times New Roman" w:cs="Times New Roman"/>
        <w:noProof/>
        <w:sz w:val="24"/>
        <w:szCs w:val="24"/>
        <w:lang w:eastAsia="es-ES"/>
      </w:rPr>
      <w:drawing>
        <wp:inline distT="0" distB="0" distL="0" distR="0" wp14:anchorId="4900B048" wp14:editId="3A779379">
          <wp:extent cx="6151880" cy="400685"/>
          <wp:effectExtent l="0" t="0" r="127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B05" w:rsidRDefault="00F02B05">
      <w:r>
        <w:separator/>
      </w:r>
    </w:p>
  </w:footnote>
  <w:footnote w:type="continuationSeparator" w:id="0">
    <w:p w:rsidR="00F02B05" w:rsidRDefault="00F02B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105" w:rsidRDefault="00DE0105" w:rsidP="00DE0105">
    <w:pPr>
      <w:tabs>
        <w:tab w:val="center" w:pos="4419"/>
        <w:tab w:val="right" w:pos="8838"/>
      </w:tabs>
      <w:ind w:firstLine="0"/>
      <w:rPr>
        <w:rFonts w:ascii="Times New Roman" w:eastAsia="Times New Roman" w:hAnsi="Times New Roman" w:cs="Times New Roman"/>
        <w:sz w:val="20"/>
        <w:szCs w:val="20"/>
      </w:rPr>
    </w:pPr>
  </w:p>
  <w:p w:rsidR="00772CCF" w:rsidRPr="00DE0105" w:rsidRDefault="0010638C" w:rsidP="00DE0105">
    <w:pPr>
      <w:tabs>
        <w:tab w:val="center" w:pos="4419"/>
        <w:tab w:val="right" w:pos="8838"/>
      </w:tabs>
      <w:ind w:firstLine="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es-ES"/>
      </w:rPr>
      <w:drawing>
        <wp:inline distT="0" distB="0" distL="0" distR="0" wp14:anchorId="7EF7F9BE" wp14:editId="0A34E769">
          <wp:extent cx="6151880" cy="589280"/>
          <wp:effectExtent l="0" t="0" r="1270" b="127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7"/>
  </w:num>
  <w:num w:numId="4">
    <w:abstractNumId w:val="13"/>
  </w:num>
  <w:num w:numId="5">
    <w:abstractNumId w:val="6"/>
  </w:num>
  <w:num w:numId="6">
    <w:abstractNumId w:val="25"/>
  </w:num>
  <w:num w:numId="7">
    <w:abstractNumId w:val="41"/>
  </w:num>
  <w:num w:numId="8">
    <w:abstractNumId w:val="24"/>
  </w:num>
  <w:num w:numId="9">
    <w:abstractNumId w:val="10"/>
  </w:num>
  <w:num w:numId="10">
    <w:abstractNumId w:val="5"/>
  </w:num>
  <w:num w:numId="11">
    <w:abstractNumId w:val="28"/>
  </w:num>
  <w:num w:numId="12">
    <w:abstractNumId w:val="12"/>
  </w:num>
  <w:num w:numId="13">
    <w:abstractNumId w:val="29"/>
  </w:num>
  <w:num w:numId="14">
    <w:abstractNumId w:val="31"/>
  </w:num>
  <w:num w:numId="15">
    <w:abstractNumId w:val="37"/>
  </w:num>
  <w:num w:numId="16">
    <w:abstractNumId w:val="23"/>
  </w:num>
  <w:num w:numId="17">
    <w:abstractNumId w:val="43"/>
  </w:num>
  <w:num w:numId="18">
    <w:abstractNumId w:val="3"/>
  </w:num>
  <w:num w:numId="19">
    <w:abstractNumId w:val="32"/>
  </w:num>
  <w:num w:numId="20">
    <w:abstractNumId w:val="15"/>
  </w:num>
  <w:num w:numId="21">
    <w:abstractNumId w:val="16"/>
  </w:num>
  <w:num w:numId="22">
    <w:abstractNumId w:val="42"/>
  </w:num>
  <w:num w:numId="23">
    <w:abstractNumId w:val="14"/>
  </w:num>
  <w:num w:numId="24">
    <w:abstractNumId w:val="20"/>
  </w:num>
  <w:num w:numId="25">
    <w:abstractNumId w:val="0"/>
  </w:num>
  <w:num w:numId="26">
    <w:abstractNumId w:val="4"/>
  </w:num>
  <w:num w:numId="27">
    <w:abstractNumId w:val="39"/>
  </w:num>
  <w:num w:numId="28">
    <w:abstractNumId w:val="35"/>
  </w:num>
  <w:num w:numId="29">
    <w:abstractNumId w:val="26"/>
  </w:num>
  <w:num w:numId="30">
    <w:abstractNumId w:val="1"/>
  </w:num>
  <w:num w:numId="31">
    <w:abstractNumId w:val="2"/>
  </w:num>
  <w:num w:numId="32">
    <w:abstractNumId w:val="18"/>
  </w:num>
  <w:num w:numId="33">
    <w:abstractNumId w:val="36"/>
  </w:num>
  <w:num w:numId="34">
    <w:abstractNumId w:val="17"/>
  </w:num>
  <w:num w:numId="35">
    <w:abstractNumId w:val="7"/>
  </w:num>
  <w:num w:numId="36">
    <w:abstractNumId w:val="38"/>
  </w:num>
  <w:num w:numId="37">
    <w:abstractNumId w:val="21"/>
  </w:num>
  <w:num w:numId="38">
    <w:abstractNumId w:val="34"/>
  </w:num>
  <w:num w:numId="39">
    <w:abstractNumId w:val="9"/>
  </w:num>
  <w:num w:numId="40">
    <w:abstractNumId w:val="8"/>
  </w:num>
  <w:num w:numId="41">
    <w:abstractNumId w:val="19"/>
  </w:num>
  <w:num w:numId="42">
    <w:abstractNumId w:val="40"/>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F2CD8"/>
    <w:rsid w:val="001012C0"/>
    <w:rsid w:val="0010638C"/>
    <w:rsid w:val="001102EF"/>
    <w:rsid w:val="00132BED"/>
    <w:rsid w:val="00143CC8"/>
    <w:rsid w:val="00167A66"/>
    <w:rsid w:val="001B4E6C"/>
    <w:rsid w:val="001C07C9"/>
    <w:rsid w:val="001C4FF1"/>
    <w:rsid w:val="002425B9"/>
    <w:rsid w:val="002931CE"/>
    <w:rsid w:val="002B369B"/>
    <w:rsid w:val="00340A35"/>
    <w:rsid w:val="00364807"/>
    <w:rsid w:val="00376A79"/>
    <w:rsid w:val="004374EF"/>
    <w:rsid w:val="00447A8F"/>
    <w:rsid w:val="004554B4"/>
    <w:rsid w:val="0053040F"/>
    <w:rsid w:val="005A08B1"/>
    <w:rsid w:val="0065768F"/>
    <w:rsid w:val="00755286"/>
    <w:rsid w:val="00772CCF"/>
    <w:rsid w:val="00783E6E"/>
    <w:rsid w:val="007B3084"/>
    <w:rsid w:val="008028CC"/>
    <w:rsid w:val="0082797A"/>
    <w:rsid w:val="008608CD"/>
    <w:rsid w:val="008B3D6B"/>
    <w:rsid w:val="008B4678"/>
    <w:rsid w:val="008E17C9"/>
    <w:rsid w:val="009156EE"/>
    <w:rsid w:val="0093744F"/>
    <w:rsid w:val="009E6963"/>
    <w:rsid w:val="00A13E15"/>
    <w:rsid w:val="00A73E53"/>
    <w:rsid w:val="00A806B5"/>
    <w:rsid w:val="00A83EEA"/>
    <w:rsid w:val="00A90232"/>
    <w:rsid w:val="00AA2258"/>
    <w:rsid w:val="00AB6110"/>
    <w:rsid w:val="00AD0AD9"/>
    <w:rsid w:val="00AF42C6"/>
    <w:rsid w:val="00B260C3"/>
    <w:rsid w:val="00B33DE6"/>
    <w:rsid w:val="00B52D85"/>
    <w:rsid w:val="00B8635C"/>
    <w:rsid w:val="00B91DA7"/>
    <w:rsid w:val="00BC58AE"/>
    <w:rsid w:val="00BF4C89"/>
    <w:rsid w:val="00BF69DC"/>
    <w:rsid w:val="00CA12A6"/>
    <w:rsid w:val="00CB1144"/>
    <w:rsid w:val="00CB17D4"/>
    <w:rsid w:val="00CC27F5"/>
    <w:rsid w:val="00CF7A0E"/>
    <w:rsid w:val="00D142C9"/>
    <w:rsid w:val="00D514F1"/>
    <w:rsid w:val="00DE0105"/>
    <w:rsid w:val="00DE70B9"/>
    <w:rsid w:val="00E0687B"/>
    <w:rsid w:val="00E77E03"/>
    <w:rsid w:val="00EA2FEB"/>
    <w:rsid w:val="00F02B05"/>
    <w:rsid w:val="00F6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3288</Words>
  <Characters>18084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10</cp:revision>
  <dcterms:created xsi:type="dcterms:W3CDTF">2018-11-07T20:10:00Z</dcterms:created>
  <dcterms:modified xsi:type="dcterms:W3CDTF">2018-11-08T01:18:00Z</dcterms:modified>
</cp:coreProperties>
</file>