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rHeight w:val="260.9765625" w:hRule="atLeast"/>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CPVAL/ 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Tasador inteligente</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Remota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29 de octubre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Mauricio Vilo,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Aguirre e</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Rodriguez</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Mauricio Vilo,</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Aguirre e</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Rodriguez</w:t>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logró realizar una mejora al modelo predictivo con el uso de un modelo de stacking.</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No hubo errores pero las mejoras fueron muy bajas, ya que no se alcanzó a mejorar lo deseado.</w:t>
            </w: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Esperamos que para el próximo sprint se logre encontrar otra mejora del modelo y poder acercarnos más al modelo que se desea.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9t4zmrTWmqXPPksTwAFBZ+zwdw==">CgMxLjA4AHIhMTlfa0tqU1U5UzNlbndGdmFfbUVPRDI1SXlSTlI1YWhz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