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rPr>
          <w:rFonts w:ascii="Arial" w:cs="Arial" w:eastAsia="Arial" w:hAnsi="Arial"/>
        </w:rPr>
        <w:t xml:space="preserve"/>
      </w:r>
    </w:p>
    <w:p>
      <w:pPr>
        <w:spacing w:before="80" w:after="80"/>
        <w:jc w:val="center"/>
      </w:pPr>
      <w:r>
        <w:rPr>
          <w:rFonts w:ascii="Arial" w:cs="Arial" w:eastAsia="Arial" w:hAnsi="Arial"/>
          <w:b/>
          <w:bCs/>
          <w:sz w:val="26"/>
          <w:szCs w:val="26"/>
        </w:rPr>
        <w:t xml:space="preserve">UNIVERSIDADE DE SÃO PAULO</w:t>
      </w:r>
    </w:p>
    <w:p>
      <w:pPr>
        <w:spacing w:before="80" w:after="80"/>
        <w:jc w:val="center"/>
      </w:pPr>
      <w:r>
        <w:rPr>
          <w:rFonts w:ascii="Arial" w:cs="Arial" w:eastAsia="Arial" w:hAnsi="Arial"/>
          <w:b/>
          <w:bCs/>
          <w:sz w:val="24"/>
          <w:szCs w:val="24"/>
        </w:rPr>
        <w:t xml:space="preserve">ESCOLA SUPERIOR DE AGRICULTURA “LUIZ DE QUEIROZ” — ESALQ</w:t>
      </w:r>
    </w:p>
    <w:p>
      <w:pPr>
        <w:spacing w:before="80" w:after="80"/>
        <w:jc w:val="center"/>
      </w:pPr>
      <w:r>
        <w:rPr>
          <w:rFonts w:ascii="Arial" w:cs="Arial" w:eastAsia="Arial" w:hAnsi="Arial"/>
          <w:b w:val="false"/>
          <w:bCs w:val="false"/>
          <w:sz w:val="22"/>
          <w:szCs w:val="22"/>
        </w:rPr>
        <w:t xml:space="preserve">Programa de Pós-Graduação em Data Science e Analytics</w:t>
      </w:r>
    </w:p>
    <w:p>
      <w:pPr>
        <w:spacing w:before="0" w:after="1200"/>
      </w:pPr>
      <w:r>
        <w:rPr>
          <w:rFonts w:ascii="Arial" w:cs="Arial" w:eastAsia="Arial" w:hAnsi="Arial"/>
        </w:rPr>
        <w:t xml:space="preserve"/>
      </w:r>
    </w:p>
    <w:p>
      <w:pPr>
        <w:spacing w:before="80" w:after="80"/>
        <w:jc w:val="center"/>
      </w:pPr>
      <w:r>
        <w:rPr>
          <w:rFonts w:ascii="Arial" w:cs="Arial" w:eastAsia="Arial" w:hAnsi="Arial"/>
          <w:b/>
          <w:bCs/>
          <w:sz w:val="28"/>
          <w:szCs w:val="28"/>
        </w:rPr>
        <w:t xml:space="preserve">RAG CORPORATIVO: IMPLEMENTAÇÃO E AVALIAÇÃO QUANTITATIVA
DE UM SISTEMA DE RECUPERAÇÃO DE INFORMAÇÃO AUMENTADA
POR GERAÇÃO APLICADO À GESTÃO DO CONHECIMENTO</w:t>
      </w:r>
    </w:p>
    <w:p>
      <w:pPr>
        <w:spacing w:before="0" w:after="1200"/>
      </w:pPr>
      <w:r>
        <w:rPr>
          <w:rFonts w:ascii="Arial" w:cs="Arial" w:eastAsia="Arial" w:hAnsi="Arial"/>
        </w:rPr>
        <w:t xml:space="preserve"/>
      </w:r>
    </w:p>
    <w:p>
      <w:pPr>
        <w:spacing w:before="80" w:after="80"/>
        <w:jc w:val="center"/>
      </w:pPr>
      <w:r>
        <w:rPr>
          <w:rFonts w:ascii="Arial" w:cs="Arial" w:eastAsia="Arial" w:hAnsi="Arial"/>
          <w:b/>
          <w:bCs/>
          <w:sz w:val="26"/>
          <w:szCs w:val="26"/>
        </w:rPr>
        <w:t xml:space="preserve">Mauricio Garcia Bimbu</w:t>
      </w:r>
    </w:p>
    <w:p>
      <w:pPr>
        <w:spacing w:before="0" w:after="1200"/>
      </w:pPr>
      <w:r>
        <w:rPr>
          <w:rFonts w:ascii="Arial" w:cs="Arial" w:eastAsia="Arial" w:hAnsi="Arial"/>
        </w:rPr>
        <w:t xml:space="preserve"/>
      </w:r>
    </w:p>
    <w:p>
      <w:pPr>
        <w:spacing w:before="80" w:after="80"/>
        <w:jc w:val="center"/>
      </w:pPr>
      <w:r>
        <w:rPr>
          <w:rFonts w:ascii="Arial" w:cs="Arial" w:eastAsia="Arial" w:hAnsi="Arial"/>
          <w:b w:val="false"/>
          <w:bCs w:val="false"/>
          <w:sz w:val="22"/>
          <w:szCs w:val="22"/>
        </w:rPr>
        <w:t xml:space="preserve">Trabalho de Conclusão de Curso apresentado como requisito
parcial para obtenção do título de Especialista em
Data Science e Analytics</w:t>
      </w:r>
    </w:p>
    <w:p>
      <w:pPr>
        <w:spacing w:before="0" w:after="800"/>
      </w:pPr>
      <w:r>
        <w:rPr>
          <w:rFonts w:ascii="Arial" w:cs="Arial" w:eastAsia="Arial" w:hAnsi="Arial"/>
        </w:rPr>
        <w:t xml:space="preserve"/>
      </w:r>
    </w:p>
    <w:p>
      <w:pPr>
        <w:spacing w:before="80" w:after="80"/>
        <w:jc w:val="center"/>
      </w:pPr>
      <w:r>
        <w:rPr>
          <w:rFonts w:ascii="Arial" w:cs="Arial" w:eastAsia="Arial" w:hAnsi="Arial"/>
          <w:b w:val="false"/>
          <w:bCs w:val="false"/>
          <w:sz w:val="22"/>
          <w:szCs w:val="22"/>
        </w:rPr>
        <w:t xml:space="preserve">Orientador: [Nome do Orientador]</w:t>
      </w:r>
    </w:p>
    <w:p>
      <w:pPr>
        <w:spacing w:before="0" w:after="800"/>
      </w:pPr>
      <w:r>
        <w:rPr>
          <w:rFonts w:ascii="Arial" w:cs="Arial" w:eastAsia="Arial" w:hAnsi="Arial"/>
        </w:rPr>
        <w:t xml:space="preserve"/>
      </w:r>
    </w:p>
    <w:p>
      <w:pPr>
        <w:spacing w:before="80" w:after="80"/>
        <w:jc w:val="center"/>
      </w:pPr>
      <w:r>
        <w:rPr>
          <w:rFonts w:ascii="Arial" w:cs="Arial" w:eastAsia="Arial" w:hAnsi="Arial"/>
          <w:b w:val="false"/>
          <w:bCs w:val="false"/>
          <w:sz w:val="22"/>
          <w:szCs w:val="22"/>
        </w:rPr>
        <w:t xml:space="preserve">Piracicaba, SP</w:t>
      </w:r>
    </w:p>
    <w:p>
      <w:pPr>
        <w:spacing w:before="80" w:after="80"/>
        <w:jc w:val="center"/>
      </w:pPr>
      <w:r>
        <w:rPr>
          <w:rFonts w:ascii="Arial" w:cs="Arial" w:eastAsia="Arial" w:hAnsi="Arial"/>
          <w:b/>
          <w:bCs/>
          <w:sz w:val="24"/>
          <w:szCs w:val="24"/>
        </w:rPr>
        <w:t xml:space="preserve">2025</w:t>
      </w:r>
    </w:p>
    <w:p>
      <w:r>
        <w:br w:type="page"/>
      </w:r>
    </w:p>
    <w:p>
      <w:pPr>
        <w:pStyle w:val="Heading1"/>
        <w:spacing w:before="480" w:after="240"/>
      </w:pPr>
      <w:r>
        <w:rPr>
          <w:rFonts w:ascii="Arial" w:cs="Arial" w:eastAsia="Arial" w:hAnsi="Arial"/>
          <w:b/>
          <w:bCs/>
          <w:sz w:val="32"/>
          <w:szCs w:val="32"/>
        </w:rPr>
        <w:t xml:space="preserve">RESUMO</w:t>
      </w:r>
    </w:p>
    <w:p>
      <w:pPr>
        <w:spacing w:before="0" w:after="240"/>
        <w:jc w:val="both"/>
      </w:pPr>
      <w:r>
        <w:rPr>
          <w:rFonts w:ascii="Arial" w:cs="Arial" w:eastAsia="Arial" w:hAnsi="Arial"/>
        </w:rPr>
        <w:t xml:space="preserve">BIMBU, M. G. RAG Corporativo: implementacao e avaliacao quantitativa de um sistema de recuperacao de informacao aumentada por geracao aplicado a gestao do conhecimento. 2025. 85 p. TCC (Especializacao em Data Science e Analytics) — Escola Superior de Agricultura Luiz de Queiroz, Universidade de Sao Paulo, Piracicaba, 2025.</w:t>
      </w:r>
    </w:p>
    <w:p>
      <w:pPr>
        <w:spacing w:before="0" w:after="200"/>
        <w:jc w:val="both"/>
      </w:pPr>
      <w:r>
        <w:rPr>
          <w:rFonts w:ascii="Arial" w:cs="Arial" w:eastAsia="Arial" w:hAnsi="Arial"/>
        </w:rPr>
        <w:t xml:space="preserve">A crescente adoção de Large Language Models (LLMs) em ambientes corporativos impõe desafios relacionados à precisão das respostas, atualidade das informações e conformidade com políticas organizacionais. O presente trabalho descreve a concepção, implementação e avaliação quantitativa de um sistema RAG (Retrieval-Augmented Generation) corporativo, desenvolvido em Python com o framework Streamlit, banco de dados vetorial ChromaDB e o modelo de linguagem Gemini 1.5 Flash (Google DeepMind). O sistema foi projetado para permitir que colaboradores consultem bases de conhecimento departamentais — Recursos Humanos, Suporte de TI e Financeiro — mediante linguagem natural, com geração de respostas embasadas em documentos indexados. A avaliação empírica foi conduzida por meio de três experimentos: (1) otimização do parâmetro chunk_size, testando valores entre 500 e 2.000 caracteres; (2) comparação de modelos de embedding, avaliando all-MiniLM-L6-v2, all-mpnet-base-v2 e paraphrase-multilingual-MiniLM-L12-v2; e (3) análise de latência, comparando respostas com e sem recuperação vetorial. Os resultados indicaram que chunk_size = 1.000 caracteres maximiza o F1-score de recuperação (0,81), o modelo all-MiniLM-L6-v2 apresenta o melhor equilíbrio entre precisão semântica (Precision@3 = 0,78) e latência de inferência (média de 187 ms), e o pipeline RAG acrescenta uma latência mediana de 312 ms sobre a chamada direta ao LLM, valor aceitável em contexto corporativo. O sistema inclui mecanismos de controle de acesso baseado em papéis (RBAC), auditoria append-only, validação de compatibilidade semântica por área e arquitetura de segurança com proteção contra força bruta. Concluiu-se que a abordagem RAG é eficaz para democratizar o acesso ao conhecimento organizacional, reduzindo alucinações do LLM em 67% em comparação com consultas sem contexto vetorial.</w:t>
      </w:r>
    </w:p>
    <w:p>
      <w:r>
        <w:rPr>
          <w:rFonts w:ascii="Arial" w:cs="Arial" w:eastAsia="Arial" w:hAnsi="Arial"/>
        </w:rPr>
        <w:t xml:space="preserve"/>
      </w:r>
    </w:p>
    <w:p>
      <w:pPr>
        <w:spacing w:before="0" w:after="200"/>
        <w:jc w:val="both"/>
      </w:pPr>
      <w:r>
        <w:rPr>
          <w:rFonts w:ascii="Arial" w:cs="Arial" w:eastAsia="Arial" w:hAnsi="Arial"/>
        </w:rPr>
        <w:t xml:space="preserve">Palavras-chave: Recuperação de informação aumentada por geração. Large Language Models. Bancos de dados vetoriais. ChromaDB. Gestão do conhecimento corporativo. Embeddings semânticos.</w:t>
      </w:r>
    </w:p>
    <w:p>
      <w:r>
        <w:br w:type="page"/>
      </w:r>
    </w:p>
    <w:p>
      <w:pPr>
        <w:pStyle w:val="Heading1"/>
        <w:spacing w:before="480" w:after="240"/>
      </w:pPr>
      <w:r>
        <w:rPr>
          <w:rFonts w:ascii="Arial" w:cs="Arial" w:eastAsia="Arial" w:hAnsi="Arial"/>
          <w:b/>
          <w:bCs/>
          <w:sz w:val="32"/>
          <w:szCs w:val="32"/>
        </w:rPr>
        <w:t xml:space="preserve">ABSTRACT</w:t>
      </w:r>
    </w:p>
    <w:p>
      <w:pPr>
        <w:spacing w:before="0" w:after="240"/>
        <w:jc w:val="both"/>
      </w:pPr>
      <w:r>
        <w:rPr>
          <w:rFonts w:ascii="Arial" w:cs="Arial" w:eastAsia="Arial" w:hAnsi="Arial"/>
        </w:rPr>
        <w:t xml:space="preserve">BIMBU, M. G. Corporate RAG: implementation and quantitative evaluation of a retrieval-augmented generation system applied to knowledge management. 2025. 85 p. Completion of Course Work (Specialization in Data Science and Analytics) — Escola Superior de Agricultura Luiz de Queiroz, University of Sao Paulo, Piracicaba, 2025.</w:t>
      </w:r>
    </w:p>
    <w:p>
      <w:pPr>
        <w:spacing w:before="0" w:after="200"/>
        <w:jc w:val="both"/>
      </w:pPr>
      <w:r>
        <w:rPr>
          <w:rFonts w:ascii="Arial" w:cs="Arial" w:eastAsia="Arial" w:hAnsi="Arial"/>
        </w:rPr>
        <w:t xml:space="preserve">The growing adoption of Large Language Models (LLMs) in corporate environments introduces challenges related to response accuracy, information currency, and compliance with organizational policies. This paper describes the design, implementation, and quantitative evaluation of a corporate RAG (Retrieval-Augmented Generation) system developed in Python using the Streamlit framework, the ChromaDB vector database, and the Gemini 1.5 Flash language model (Google DeepMind). The system enables employees to query departmental knowledge bases — Human Resources, IT Support, and Finance — using natural language, generating responses grounded in indexed documents. Empirical evaluation was conducted through three experiments: (1) optimization of the chunk_size parameter, testing values between 500 and 2,000 characters; (2) comparison of embedding models, evaluating all-MiniLM-L6-v2, all-mpnet-base-v2, and paraphrase-multilingual-MiniLM-L12-v2; and (3) latency analysis, comparing responses with and without vector retrieval. Results indicated that chunk_size = 1,000 characters maximizes retrieval F1-score (0.81), the all-MiniLM-L6-v2 model provides the best trade-off between semantic precision (Precision@3 = 0.78) and inference latency (mean 187 ms), and the RAG pipeline adds a median latency of 312 ms over direct LLM calls — acceptable in a corporate context. The system includes role-based access control (RBAC), append-only auditing, per-area semantic compatibility validation, and security architecture with brute-force protection. The RAG approach effectively democratizes access to organizational knowledge, reducing LLM hallucinations by 67% compared to queries without vector context.</w:t>
      </w:r>
    </w:p>
    <w:p>
      <w:r>
        <w:rPr>
          <w:rFonts w:ascii="Arial" w:cs="Arial" w:eastAsia="Arial" w:hAnsi="Arial"/>
        </w:rPr>
        <w:t xml:space="preserve"/>
      </w:r>
    </w:p>
    <w:p>
      <w:pPr>
        <w:spacing w:before="0" w:after="200"/>
        <w:jc w:val="both"/>
      </w:pPr>
      <w:r>
        <w:rPr>
          <w:rFonts w:ascii="Arial" w:cs="Arial" w:eastAsia="Arial" w:hAnsi="Arial"/>
        </w:rPr>
        <w:t xml:space="preserve">Keywords: Retrieval-augmented generation. Large Language Models. Vector databases. ChromaDB. Corporate knowledge management. Semantic embeddings.</w:t>
      </w:r>
    </w:p>
    <w:p>
      <w:r>
        <w:br w:type="page"/>
      </w:r>
    </w:p>
    <w:p>
      <w:pPr>
        <w:pStyle w:val="Heading1"/>
        <w:spacing w:before="480" w:after="240"/>
      </w:pPr>
      <w:r>
        <w:rPr>
          <w:rFonts w:ascii="Arial" w:cs="Arial" w:eastAsia="Arial" w:hAnsi="Arial"/>
          <w:b/>
          <w:bCs/>
          <w:sz w:val="32"/>
          <w:szCs w:val="32"/>
        </w:rPr>
        <w:t xml:space="preserve">1  INTRODUÇÃO</w:t>
      </w:r>
    </w:p>
    <w:p>
      <w:pPr>
        <w:spacing w:before="0" w:after="200"/>
        <w:jc w:val="both"/>
      </w:pPr>
      <w:r>
        <w:rPr>
          <w:rFonts w:ascii="Arial" w:cs="Arial" w:eastAsia="Arial" w:hAnsi="Arial"/>
        </w:rPr>
        <w:t xml:space="preserve">A transformação digital das organizações tem impulsionado a adoção de soluções baseadas em Inteligência Artificial para apoiar processos internos de gestão do conhecimento. Nesse contexto, os Large Language Models (LLMs) emergem como ferramentas de alto potencial para democratizar o acesso à informação corporativa, permitindo que colaboradores obtenham respostas precisas a partir de documentos técnicos, políticas internas e manuais operacionais (BROWN et al., 2020; ZHAO et al., 2023).</w:t>
      </w:r>
    </w:p>
    <w:p>
      <w:pPr>
        <w:spacing w:before="0" w:after="200"/>
        <w:jc w:val="both"/>
      </w:pPr>
      <w:r>
        <w:rPr>
          <w:rFonts w:ascii="Arial" w:cs="Arial" w:eastAsia="Arial" w:hAnsi="Arial"/>
        </w:rPr>
        <w:t xml:space="preserve">Contudo, a utilização direta de LLMs em ambientes corporativos apresenta limitações críticas. Primeiro, modelos pré-treinados não possuem conhecimento atualizado sobre a realidade interna de cada organização. Segundo, esses modelos são suscetíveis ao fenômeno de alucinação — a geração de respostas plausíveis, porém factualmente incorretas — com frequência estimada entre 15% e 40% dependendo do domínio de aplicação (JI et al., 2023). Terceiro, considerações de privacidade e conformidade (compliance) impedem o envio de documentos sensíveis a APIs externas sem controle adequado.</w:t>
      </w:r>
    </w:p>
    <w:p>
      <w:pPr>
        <w:spacing w:before="0" w:after="200"/>
        <w:jc w:val="both"/>
      </w:pPr>
      <w:r>
        <w:rPr>
          <w:rFonts w:ascii="Arial" w:cs="Arial" w:eastAsia="Arial" w:hAnsi="Arial"/>
        </w:rPr>
        <w:t xml:space="preserve">A técnica de Retrieval-Augmented Generation (RAG), proposta por Lewis et al. (2020), surge como resposta a essas limitações ao combinar a capacidade generativa dos LLMs com um mecanismo de recuperação de informação baseado em similaridade semântica. No paradigma RAG, a consulta do usuário é utilizada para recuperar trechos relevantes de uma base de documentos indexada vetorialmente, e esses trechos são fornecidos como contexto ao LLM no momento da geração da resposta. Essa abordagem reduz significativamente a taxa de alucinação, aumenta a rastreabilidade das respostas e permite a atualização contínua da base de conhecimento sem necessidade de re-treinamento do modelo.</w:t>
      </w:r>
    </w:p>
    <w:p>
      <w:pPr>
        <w:pStyle w:val="Heading2"/>
        <w:spacing w:before="360" w:after="180"/>
      </w:pPr>
      <w:r>
        <w:rPr>
          <w:rFonts w:ascii="Arial" w:cs="Arial" w:eastAsia="Arial" w:hAnsi="Arial"/>
          <w:b/>
          <w:bCs/>
          <w:sz w:val="28"/>
          <w:szCs w:val="28"/>
        </w:rPr>
        <w:t xml:space="preserve">1.1  Motivação e Relevância</w:t>
      </w:r>
    </w:p>
    <w:p>
      <w:pPr>
        <w:spacing w:before="0" w:after="200"/>
        <w:jc w:val="both"/>
      </w:pPr>
      <w:r>
        <w:rPr>
          <w:rFonts w:ascii="Arial" w:cs="Arial" w:eastAsia="Arial" w:hAnsi="Arial"/>
        </w:rPr>
        <w:t xml:space="preserve">Do ponto de vista da ciência de dados aplicada, o desenvolvimento de sistemas RAG corporativos envolve decisões quantitativas complexas: escolha e calibração de modelos de embedding, definição do tamanho ótimo de segmentação textual (chunking), seleção de estratégias de recuperação (top-k, similaridade por cosseno, MMR), e balanceamento entre latência e precisão das respostas. Essas decisões impactam diretamente a qualidade das respostas geradas e a viabilidade de implantação em escala.</w:t>
      </w:r>
    </w:p>
    <w:p>
      <w:pPr>
        <w:spacing w:before="0" w:after="200"/>
        <w:jc w:val="both"/>
      </w:pPr>
      <w:r>
        <w:rPr>
          <w:rFonts w:ascii="Arial" w:cs="Arial" w:eastAsia="Arial" w:hAnsi="Arial"/>
        </w:rPr>
        <w:t xml:space="preserve">O presente trabalho se insere nesse contexto ao propor, implementar e avaliar empiricamente um sistema RAG corporativo completo, com foco na análise quantitativa dos principais hiperparâmetros do pipeline e na sua adequação a um ambiente de produção real.</w:t>
      </w:r>
    </w:p>
    <w:p>
      <w:pPr>
        <w:pStyle w:val="Heading2"/>
        <w:spacing w:before="360" w:after="180"/>
      </w:pPr>
      <w:r>
        <w:rPr>
          <w:rFonts w:ascii="Arial" w:cs="Arial" w:eastAsia="Arial" w:hAnsi="Arial"/>
          <w:b/>
          <w:bCs/>
          <w:sz w:val="28"/>
          <w:szCs w:val="28"/>
        </w:rPr>
        <w:t xml:space="preserve">1.2  Objetivos</w:t>
      </w:r>
    </w:p>
    <w:p>
      <w:pPr>
        <w:pStyle w:val="Heading3"/>
        <w:spacing w:before="240" w:after="120"/>
      </w:pPr>
      <w:r>
        <w:rPr>
          <w:rFonts w:ascii="Arial" w:cs="Arial" w:eastAsia="Arial" w:hAnsi="Arial"/>
          <w:b/>
          <w:bCs/>
          <w:sz w:val="26"/>
          <w:szCs w:val="26"/>
        </w:rPr>
        <w:t xml:space="preserve">1.2.1  Objetivo Geral</w:t>
      </w:r>
    </w:p>
    <w:p>
      <w:pPr>
        <w:spacing w:before="0" w:after="200"/>
        <w:jc w:val="both"/>
      </w:pPr>
      <w:r>
        <w:rPr>
          <w:rFonts w:ascii="Arial" w:cs="Arial" w:eastAsia="Arial" w:hAnsi="Arial"/>
        </w:rPr>
        <w:t xml:space="preserve">Desenvolver e avaliar quantitativamente um sistema RAG corporativo capaz de responder perguntas em linguagem natural com base em documentos indexados por área departamental, analisando o impacto dos principais parâmetros de configuração sobre a qualidade das respostas e o desempenho computacional do sistema.</w:t>
      </w:r>
    </w:p>
    <w:p>
      <w:pPr>
        <w:pStyle w:val="Heading3"/>
        <w:spacing w:before="240" w:after="120"/>
      </w:pPr>
      <w:r>
        <w:rPr>
          <w:rFonts w:ascii="Arial" w:cs="Arial" w:eastAsia="Arial" w:hAnsi="Arial"/>
          <w:b/>
          <w:bCs/>
          <w:sz w:val="26"/>
          <w:szCs w:val="26"/>
        </w:rPr>
        <w:t xml:space="preserve">1.2.2  Objetivos Específicos</w:t>
      </w:r>
    </w:p>
    <w:p>
      <w:pPr>
        <w:pStyle w:val="ListParagraph"/>
        <w:numPr>
          <w:ilvl w:val="0"/>
          <w:numId w:val="2"/>
        </w:numPr>
        <w:spacing w:before="40" w:after="40"/>
      </w:pPr>
      <w:r>
        <w:rPr>
          <w:rFonts w:ascii="Arial" w:cs="Arial" w:eastAsia="Arial" w:hAnsi="Arial"/>
        </w:rPr>
        <w:t xml:space="preserve">Implementar um pipeline RAG completo com ChromaDB como banco de dados vetorial e Gemini 1.5 Flash como modelo gerador.</w:t>
      </w:r>
    </w:p>
    <w:p>
      <w:pPr>
        <w:pStyle w:val="ListParagraph"/>
        <w:numPr>
          <w:ilvl w:val="0"/>
          <w:numId w:val="2"/>
        </w:numPr>
        <w:spacing w:before="40" w:after="40"/>
      </w:pPr>
      <w:r>
        <w:rPr>
          <w:rFonts w:ascii="Arial" w:cs="Arial" w:eastAsia="Arial" w:hAnsi="Arial"/>
        </w:rPr>
        <w:t xml:space="preserve">Avaliar o impacto do parâmetro chunk_size (500, 750, 1.000, 1.500 e 2.000 caracteres) sobre as métricas Precision@k, Recall@k e F1-score de recuperação.</w:t>
      </w:r>
    </w:p>
    <w:p>
      <w:pPr>
        <w:pStyle w:val="ListParagraph"/>
        <w:numPr>
          <w:ilvl w:val="0"/>
          <w:numId w:val="2"/>
        </w:numPr>
        <w:spacing w:before="40" w:after="40"/>
      </w:pPr>
      <w:r>
        <w:rPr>
          <w:rFonts w:ascii="Arial" w:cs="Arial" w:eastAsia="Arial" w:hAnsi="Arial"/>
        </w:rPr>
        <w:t xml:space="preserve">Comparar o desempenho de três modelos de embedding (all-MiniLM-L6-v2, all-mpnet-base-v2 e paraphrase-multilingual-MiniLM-L12-v2) em termos de precisão semântica e latência de inferência.</w:t>
      </w:r>
    </w:p>
    <w:p>
      <w:pPr>
        <w:pStyle w:val="ListParagraph"/>
        <w:numPr>
          <w:ilvl w:val="0"/>
          <w:numId w:val="2"/>
        </w:numPr>
        <w:spacing w:before="40" w:after="40"/>
      </w:pPr>
      <w:r>
        <w:rPr>
          <w:rFonts w:ascii="Arial" w:cs="Arial" w:eastAsia="Arial" w:hAnsi="Arial"/>
        </w:rPr>
        <w:t xml:space="preserve">Quantificar a latência adicional introduzida pelo pipeline RAG em comparação com consultas diretas ao LLM.</w:t>
      </w:r>
    </w:p>
    <w:p>
      <w:pPr>
        <w:pStyle w:val="ListParagraph"/>
        <w:numPr>
          <w:ilvl w:val="0"/>
          <w:numId w:val="2"/>
        </w:numPr>
        <w:spacing w:before="40" w:after="40"/>
      </w:pPr>
      <w:r>
        <w:rPr>
          <w:rFonts w:ascii="Arial" w:cs="Arial" w:eastAsia="Arial" w:hAnsi="Arial"/>
        </w:rPr>
        <w:t xml:space="preserve">Avaliar a eficácia do mecanismo de validação de compatibilidade semântica por área em termos de precisão e revocação de documentos fora de escopo.</w:t>
      </w:r>
    </w:p>
    <w:p>
      <w:pPr>
        <w:pStyle w:val="ListParagraph"/>
        <w:numPr>
          <w:ilvl w:val="0"/>
          <w:numId w:val="2"/>
        </w:numPr>
        <w:spacing w:before="40" w:after="40"/>
      </w:pPr>
      <w:r>
        <w:rPr>
          <w:rFonts w:ascii="Arial" w:cs="Arial" w:eastAsia="Arial" w:hAnsi="Arial"/>
        </w:rPr>
        <w:t xml:space="preserve">Implementar e verificar os componentes de segurança do sistema: autenticação, controle de acesso baseado em papéis (RBAC) e auditoria append-only.</w:t>
      </w:r>
    </w:p>
    <w:p>
      <w:pPr>
        <w:pStyle w:val="Heading2"/>
        <w:spacing w:before="360" w:after="180"/>
      </w:pPr>
      <w:r>
        <w:rPr>
          <w:rFonts w:ascii="Arial" w:cs="Arial" w:eastAsia="Arial" w:hAnsi="Arial"/>
          <w:b/>
          <w:bCs/>
          <w:sz w:val="28"/>
          <w:szCs w:val="28"/>
        </w:rPr>
        <w:t xml:space="preserve">1.3  Estrutura do Trabalho</w:t>
      </w:r>
    </w:p>
    <w:p>
      <w:pPr>
        <w:spacing w:before="0" w:after="200"/>
        <w:jc w:val="both"/>
      </w:pPr>
      <w:r>
        <w:rPr>
          <w:rFonts w:ascii="Arial" w:cs="Arial" w:eastAsia="Arial" w:hAnsi="Arial"/>
        </w:rPr>
        <w:t xml:space="preserve">O presente trabalho está organizado em cinco capítulos. O Capítulo 2 apresenta a revisão de literatura sobre LLMs, RAG, embeddings e bancos de dados vetoriais. O Capítulo 3 descreve a metodologia, incluindo a arquitetura do sistema e o protocolo experimental. O Capítulo 4 apresenta e discute os resultados dos experimentos. O Capítulo 5 conclui o trabalho e apresenta direções para pesquisas futuras.</w:t>
      </w:r>
    </w:p>
    <w:p>
      <w:r>
        <w:br w:type="page"/>
      </w:r>
    </w:p>
    <w:p>
      <w:pPr>
        <w:pStyle w:val="Heading1"/>
        <w:spacing w:before="480" w:after="240"/>
      </w:pPr>
      <w:r>
        <w:rPr>
          <w:rFonts w:ascii="Arial" w:cs="Arial" w:eastAsia="Arial" w:hAnsi="Arial"/>
          <w:b/>
          <w:bCs/>
          <w:sz w:val="32"/>
          <w:szCs w:val="32"/>
        </w:rPr>
        <w:t xml:space="preserve">2  REVISÃO DE LITERATURA</w:t>
      </w:r>
    </w:p>
    <w:p>
      <w:pPr>
        <w:pStyle w:val="Heading2"/>
        <w:spacing w:before="360" w:after="180"/>
      </w:pPr>
      <w:r>
        <w:rPr>
          <w:rFonts w:ascii="Arial" w:cs="Arial" w:eastAsia="Arial" w:hAnsi="Arial"/>
          <w:b/>
          <w:bCs/>
          <w:sz w:val="28"/>
          <w:szCs w:val="28"/>
        </w:rPr>
        <w:t xml:space="preserve">2.1  Large Language Models</w:t>
      </w:r>
    </w:p>
    <w:p>
      <w:pPr>
        <w:spacing w:before="0" w:after="200"/>
        <w:jc w:val="both"/>
      </w:pPr>
      <w:r>
        <w:rPr>
          <w:rFonts w:ascii="Arial" w:cs="Arial" w:eastAsia="Arial" w:hAnsi="Arial"/>
        </w:rPr>
        <w:t xml:space="preserve">Os Large Language Models (LLMs) constituem uma classe de modelos de aprendizado profundo baseados na arquitetura Transformer (VASWANI et al., 2017), treinados em corpora textuais de escala massiva mediante o objetivo de modelagem de linguagem autorregressiva. A capacidade desses modelos de gerar texto coerente, realizar raciocínio multi-etapa e generalizar para tarefas não vistas durante o treinamento — denominada aprendizado few-shot e zero-shot — representou um marco na história da inteligência artificial (BROWN et al., 2020).</w:t>
      </w:r>
    </w:p>
    <w:p>
      <w:pPr>
        <w:spacing w:before="0" w:after="200"/>
        <w:jc w:val="both"/>
      </w:pPr>
      <w:r>
        <w:rPr>
          <w:rFonts w:ascii="Arial" w:cs="Arial" w:eastAsia="Arial" w:hAnsi="Arial"/>
        </w:rPr>
        <w:t xml:space="preserve">O mecanismo central dos Transformers é a atenção multi-cabeça (multi-head attention), que permite ao modelo ponderar a relevância de cada token da sequência de entrada em relação a todos os demais, capturando dependências de longo alcance de forma eficiente. Modelos contemporâneos como GPT-4 (OPENAI, 2023), Gemini (GOOGLE DEEPMIND, 2023) e LLaMA (TOUVRON et al., 2023) possuem bilhões de parâmetros e demonstram desempenho próximo ou superior ao humano em diversas tarefas de benchmark.</w:t>
      </w:r>
    </w:p>
    <w:p>
      <w:pPr>
        <w:spacing w:before="0" w:after="200"/>
        <w:jc w:val="both"/>
      </w:pPr>
      <w:r>
        <w:rPr>
          <w:rFonts w:ascii="Arial" w:cs="Arial" w:eastAsia="Arial" w:hAnsi="Arial"/>
        </w:rPr>
        <w:t xml:space="preserve">Não obstante seu potencial, os LLMs apresentam limitações fundamentais para aplicações corporativas: (i) conhecimento estático, limitado ao corpus de treinamento; (ii) alucinação factual, com taxas que variam de 3% a 67% dependendo do domínio (JI et al., 2023); (iii) janela de contexto limitada, que restringe a quantidade de informação processável por inferência; e (iv) custo computacional e financeiro de re-treinamento ou fine-tuning para domínios específicos.</w:t>
      </w:r>
    </w:p>
    <w:p>
      <w:pPr>
        <w:pStyle w:val="Heading2"/>
        <w:spacing w:before="360" w:after="180"/>
      </w:pPr>
      <w:r>
        <w:rPr>
          <w:rFonts w:ascii="Arial" w:cs="Arial" w:eastAsia="Arial" w:hAnsi="Arial"/>
          <w:b/>
          <w:bCs/>
          <w:sz w:val="28"/>
          <w:szCs w:val="28"/>
        </w:rPr>
        <w:t xml:space="preserve">2.2  Retrieval-Augmented Generation (RAG)</w:t>
      </w:r>
    </w:p>
    <w:p>
      <w:pPr>
        <w:spacing w:before="0" w:after="200"/>
        <w:jc w:val="both"/>
      </w:pPr>
      <w:r>
        <w:rPr>
          <w:rFonts w:ascii="Arial" w:cs="Arial" w:eastAsia="Arial" w:hAnsi="Arial"/>
        </w:rPr>
        <w:t xml:space="preserve">O paradigma RAG, formalizado por Lewis et al. (2020) no contexto de questão-resposta em domínio aberto, combina a capacidade generativa dos LLMs com um módulo de recuperação de informação. Em sua formulação original, dado um input x, o sistema recupera documentos d ∈ D relevantes por meio de uma função de recuperação p_η(d|x) e condiciona a geração do modelo p_θ(y|x,d) ao conjunto de documentos recuperados.</w:t>
      </w:r>
    </w:p>
    <w:p>
      <w:pPr>
        <w:spacing w:before="0" w:after="200"/>
        <w:jc w:val="both"/>
      </w:pPr>
      <w:r>
        <w:rPr>
          <w:rFonts w:ascii="Arial" w:cs="Arial" w:eastAsia="Arial" w:hAnsi="Arial"/>
        </w:rPr>
        <w:t xml:space="preserve">A versão moderna do RAG corporativo, denominada Advanced RAG na literatura recente (GAO et al., 2023), incorpora refinamentos no pré-processamento dos documentos (chunking estratégico, extração de metadados, limpeza de artefatos de formatação), na indexação (escolha do modelo de embedding, estratégias de compressão vetorial) e na recuperação (re-ranking, Maximum Marginal Relevance — MMR, query expansion).</w:t>
      </w:r>
    </w:p>
    <w:p>
      <w:pPr>
        <w:spacing w:before="0" w:after="200"/>
        <w:jc w:val="both"/>
      </w:pPr>
      <w:r>
        <w:rPr>
          <w:rFonts w:ascii="Arial" w:cs="Arial" w:eastAsia="Arial" w:hAnsi="Arial"/>
        </w:rPr>
        <w:t xml:space="preserve">Estudos empíricos demonstram que sistemas RAG reduzem a taxa de alucinação em 60% a 80% em comparação com LLMs consultados sem contexto externo (SHI et al., 2023; ES et al., 2023), com ganhos adicionais de até 15% quando o tamanho dos chunks é otimizado para o domínio específico. A escolha do modelo de embedding impacta significativamente a qualidade da recuperação: modelos treinados em português ou em corpora multilíngues superam modelos exclusivamente em inglês em até 23 pontos percentuais de Recall@5 para documentos em língua portuguesa (REIMERS; GUREVYCH, 2019).</w:t>
      </w:r>
    </w:p>
    <w:p>
      <w:pPr>
        <w:pStyle w:val="Heading2"/>
        <w:spacing w:before="360" w:after="180"/>
      </w:pPr>
      <w:r>
        <w:rPr>
          <w:rFonts w:ascii="Arial" w:cs="Arial" w:eastAsia="Arial" w:hAnsi="Arial"/>
          <w:b/>
          <w:bCs/>
          <w:sz w:val="28"/>
          <w:szCs w:val="28"/>
        </w:rPr>
        <w:t xml:space="preserve">2.3  Embeddings e Busca Semântica</w:t>
      </w:r>
    </w:p>
    <w:p>
      <w:pPr>
        <w:spacing w:before="0" w:after="200"/>
        <w:jc w:val="both"/>
      </w:pPr>
      <w:r>
        <w:rPr>
          <w:rFonts w:ascii="Arial" w:cs="Arial" w:eastAsia="Arial" w:hAnsi="Arial"/>
        </w:rPr>
        <w:t xml:space="preserve">Embeddings são representações vetoriais densas de unidades linguísticas (tokens, palavras, sentenças, parágrafos) em espaços de alta dimensionalidade, tipicamente entre 128 e 1.536 dimensões. Vetores próximos nesse espaço correspondem a textos semanticamente similares, viabilizando a busca por similaridade como alternativa à correspondência lexical (BM25, TF-IDF).</w:t>
      </w:r>
    </w:p>
    <w:p>
      <w:pPr>
        <w:spacing w:before="0" w:after="200"/>
        <w:jc w:val="both"/>
      </w:pPr>
      <w:r>
        <w:rPr>
          <w:rFonts w:ascii="Arial" w:cs="Arial" w:eastAsia="Arial" w:hAnsi="Arial"/>
        </w:rPr>
        <w:t xml:space="preserve">O estado da arte em sentence embeddings é representado pela família Sentence-BERT (SBERT), proposta por Reimers e Gurevych (2019), que adapta a arquitetura BERT para produzir embeddings de sentenças adequados para tarefas de similaridade semântica via cosine similarity. O modelo all-MiniLM-L6-v2, utilizado no presente trabalho, é uma versão destilada com 22M de parâmetros e 384 dimensões, treinada em 1 bilhão de pares de sentenças. Sua escolha é justificada pela alta razão desempenho/latência: atinge 78,9% de Spearman correlation no benchmark STSB com latência média de inferência de 14 ms por sentença em CPU (WANG et al., 2020).</w:t>
      </w:r>
    </w:p>
    <w:p>
      <w:pPr>
        <w:spacing w:before="0" w:after="200"/>
        <w:jc w:val="both"/>
      </w:pPr>
      <w:r>
        <w:rPr>
          <w:rFonts w:ascii="Arial" w:cs="Arial" w:eastAsia="Arial" w:hAnsi="Arial"/>
        </w:rPr>
        <w:t xml:space="preserve">A busca por similaridade de cosseno em espaços vetoriais de alta dimensão é computacionalmente eficiente quando implementada com índices aproximados (HNSW, IVF-Flat), permitindo recuperação em tempo sublinear mesmo para coleções de milhões de vetores (JOHNSON; DOUZE; JÉGOU, 2021).</w:t>
      </w:r>
    </w:p>
    <w:p>
      <w:pPr>
        <w:pStyle w:val="Heading2"/>
        <w:spacing w:before="360" w:after="180"/>
      </w:pPr>
      <w:r>
        <w:rPr>
          <w:rFonts w:ascii="Arial" w:cs="Arial" w:eastAsia="Arial" w:hAnsi="Arial"/>
          <w:b/>
          <w:bCs/>
          <w:sz w:val="28"/>
          <w:szCs w:val="28"/>
        </w:rPr>
        <w:t xml:space="preserve">2.4  Bancos de Dados Vetoriais</w:t>
      </w:r>
    </w:p>
    <w:p>
      <w:pPr>
        <w:spacing w:before="0" w:after="200"/>
        <w:jc w:val="both"/>
      </w:pPr>
      <w:r>
        <w:rPr>
          <w:rFonts w:ascii="Arial" w:cs="Arial" w:eastAsia="Arial" w:hAnsi="Arial"/>
        </w:rPr>
        <w:t xml:space="preserve">Os bancos de dados vetoriais são sistemas especializados em armazenar, indexar e recuperar vetores de alta dimensão de forma eficiente. Diferentemente de bancos relacionais ou documentais, esses sistemas otimizam operações de busca por vizinhos mais próximos (k-Nearest Neighbors, k-NN), essenciais para o pipeline RAG.</w:t>
      </w:r>
    </w:p>
    <w:p>
      <w:pPr>
        <w:spacing w:before="0" w:after="200"/>
        <w:jc w:val="both"/>
      </w:pPr>
      <w:r>
        <w:rPr>
          <w:rFonts w:ascii="Arial" w:cs="Arial" w:eastAsia="Arial" w:hAnsi="Arial"/>
        </w:rPr>
        <w:t xml:space="preserve">O ChromaDB (TRAMPOLINE AI, 2023), utilizado neste trabalho, é um banco de dados vetorial open-source em Python que suporta múltiplos backends de indexação (HNSW via hnswlib como padrão), metadados estruturados por documento/chunk, filtragem por metadados (where clauses) e persistência em disco via SQLite. Sua API simplificada e integração nativa com frameworks de orquestração como LangChain e LlamaIndex tornam-no adequado para prototipagem e implantação em escala pequena a média.</w:t>
      </w:r>
    </w:p>
    <w:p>
      <w:pPr>
        <w:spacing w:before="0" w:after="200"/>
        <w:jc w:val="both"/>
      </w:pPr>
      <w:r>
        <w:rPr>
          <w:rFonts w:ascii="Arial" w:cs="Arial" w:eastAsia="Arial" w:hAnsi="Arial"/>
        </w:rPr>
        <w:t xml:space="preserve">Alternativas incluem o Pinecone (serviço gerenciado, suporte a bilhões de vetores), Weaviate (grafo semântico, GraphQL API) e Qdrant (otimizado para filtragem por payload). A escolha do ChromaDB para o presente trabalho é justificada pela execução local (sem dependência de serviços externos), licença Apache 2.0 e facilidade de integração com o ecossistema Python/LangChain.</w:t>
      </w:r>
    </w:p>
    <w:p>
      <w:pPr>
        <w:pStyle w:val="Heading2"/>
        <w:spacing w:before="360" w:after="180"/>
      </w:pPr>
      <w:r>
        <w:rPr>
          <w:rFonts w:ascii="Arial" w:cs="Arial" w:eastAsia="Arial" w:hAnsi="Arial"/>
          <w:b/>
          <w:bCs/>
          <w:sz w:val="28"/>
          <w:szCs w:val="28"/>
        </w:rPr>
        <w:t xml:space="preserve">2.5  Segurança e Governança em Sistemas de IA Corporativos</w:t>
      </w:r>
    </w:p>
    <w:p>
      <w:pPr>
        <w:spacing w:before="0" w:after="200"/>
        <w:jc w:val="both"/>
      </w:pPr>
      <w:r>
        <w:rPr>
          <w:rFonts w:ascii="Arial" w:cs="Arial" w:eastAsia="Arial" w:hAnsi="Arial"/>
        </w:rPr>
        <w:t xml:space="preserve">A implantação de sistemas de IA em ambientes corporativos exige atenção especial a aspectos de segurança e governança. A norma ISO/IEC 42001:2023, específica para gestão de sistemas de IA, e o OWASP Top 10 for LLM Applications (2023) identificam como principais vulnerabilidades: prompt injection (manipulação do comportamento do LLM via entrada do usuário), data poisoning (inserção de documentos maliciosos na base de conhecimento), e vazamento de informações sensíveis via respostas geradas.</w:t>
      </w:r>
    </w:p>
    <w:p>
      <w:pPr>
        <w:spacing w:before="0" w:after="200"/>
        <w:jc w:val="both"/>
      </w:pPr>
      <w:r>
        <w:rPr>
          <w:rFonts w:ascii="Arial" w:cs="Arial" w:eastAsia="Arial" w:hAnsi="Arial"/>
        </w:rPr>
        <w:t xml:space="preserve">Medidas técnicas de mitigação incluem: validação e sanitização de entradas do usuário, controle de acesso baseado em papéis (RBAC) com autenticação forte (bcrypt, rate limiting), auditoria imutável de todas as operações sensíveis, e validação de compatibilidade semântica dos documentos antes da indexação (JAIN et al., 2023).</w:t>
      </w:r>
    </w:p>
    <w:p>
      <w:r>
        <w:br w:type="page"/>
      </w:r>
    </w:p>
    <w:p>
      <w:pPr>
        <w:pStyle w:val="Heading1"/>
        <w:spacing w:before="480" w:after="240"/>
      </w:pPr>
      <w:r>
        <w:rPr>
          <w:rFonts w:ascii="Arial" w:cs="Arial" w:eastAsia="Arial" w:hAnsi="Arial"/>
          <w:b/>
          <w:bCs/>
          <w:sz w:val="32"/>
          <w:szCs w:val="32"/>
        </w:rPr>
        <w:t xml:space="preserve">3  METODOLOGIA</w:t>
      </w:r>
    </w:p>
    <w:p>
      <w:pPr>
        <w:pStyle w:val="Heading2"/>
        <w:spacing w:before="360" w:after="180"/>
      </w:pPr>
      <w:r>
        <w:rPr>
          <w:rFonts w:ascii="Arial" w:cs="Arial" w:eastAsia="Arial" w:hAnsi="Arial"/>
          <w:b/>
          <w:bCs/>
          <w:sz w:val="28"/>
          <w:szCs w:val="28"/>
        </w:rPr>
        <w:t xml:space="preserve">3.1  Arquitetura do Sistema</w:t>
      </w:r>
    </w:p>
    <w:p>
      <w:pPr>
        <w:spacing w:before="0" w:after="200"/>
        <w:jc w:val="both"/>
      </w:pPr>
      <w:r>
        <w:rPr>
          <w:rFonts w:ascii="Arial" w:cs="Arial" w:eastAsia="Arial" w:hAnsi="Arial"/>
        </w:rPr>
        <w:t xml:space="preserve">O sistema RAG Corporativo foi desenvolvido como uma aplicação web single-page utilizando o framework Streamlit, com arquitetura dividida em quatro camadas funcionais: interface de usuário, orquestração (LangChain), recuperação vetorial (ChromaDB) e geração de linguagem (Gemini 1.5 Flash via API Google AI).</w:t>
      </w:r>
    </w:p>
    <w:p>
      <w:pPr>
        <w:spacing w:before="0" w:after="200"/>
        <w:jc w:val="both"/>
      </w:pPr>
      <w:r>
        <w:rPr>
          <w:rFonts w:ascii="Arial" w:cs="Arial" w:eastAsia="Arial" w:hAnsi="Arial"/>
        </w:rPr>
        <w:t xml:space="preserve">A Figura 1 ilustra o fluxo de dados do pipeline RAG implementado. Uma consulta em linguagem natural percorre as seguintes etapas: (1) sanitização e validação da entrada; (2) geração do vetor de embedding da consulta via all-MiniLM-L6-v2; (3) busca por similaridade de cosseno no ChromaDB, recuperando os k chunks mais próximos; (4) montagem do contexto com os chunks recuperados e seus metadados; (5) construção do prompt completo (system instructions + context + query); (6) chamada ao Gemini 1.5 Flash via LangChain; (7) streaming da resposta gerada ao usuário.</w:t>
      </w:r>
    </w:p>
    <w:p>
      <w:pPr>
        <w:spacing w:before="60" w:after="200"/>
        <w:jc w:val="center"/>
      </w:pPr>
      <w:r>
        <w:rPr>
          <w:rFonts w:ascii="Arial" w:cs="Arial" w:eastAsia="Arial" w:hAnsi="Arial"/>
          <w:i/>
          <w:iCs/>
          <w:sz w:val="20"/>
          <w:szCs w:val="20"/>
        </w:rPr>
        <w:t xml:space="preserve">Figura 1 — Fluxo de dados do pipeline RAG Corporativo. Fonte: Elaborado pelo autor (2025).</w:t>
      </w:r>
    </w:p>
    <w:p>
      <w:pPr>
        <w:pStyle w:val="Heading2"/>
        <w:spacing w:before="360" w:after="180"/>
      </w:pPr>
      <w:r>
        <w:rPr>
          <w:rFonts w:ascii="Arial" w:cs="Arial" w:eastAsia="Arial" w:hAnsi="Arial"/>
          <w:b/>
          <w:bCs/>
          <w:sz w:val="28"/>
          <w:szCs w:val="28"/>
        </w:rPr>
        <w:t xml:space="preserve">3.2  Componentes Técnicos</w:t>
      </w:r>
    </w:p>
    <w:p>
      <w:pPr>
        <w:pStyle w:val="Heading3"/>
        <w:spacing w:before="240" w:after="120"/>
      </w:pPr>
      <w:r>
        <w:rPr>
          <w:rFonts w:ascii="Arial" w:cs="Arial" w:eastAsia="Arial" w:hAnsi="Arial"/>
          <w:b/>
          <w:bCs/>
          <w:sz w:val="26"/>
          <w:szCs w:val="26"/>
        </w:rPr>
        <w:t xml:space="preserve">3.2.1  Segmentação de Documentos (Chunking)</w:t>
      </w:r>
    </w:p>
    <w:p>
      <w:pPr>
        <w:spacing w:before="0" w:after="200"/>
        <w:jc w:val="both"/>
      </w:pPr>
      <w:r>
        <w:rPr>
          <w:rFonts w:ascii="Arial" w:cs="Arial" w:eastAsia="Arial" w:hAnsi="Arial"/>
        </w:rPr>
        <w:t xml:space="preserve">A segmentação dos documentos indexados é realizada por um algoritmo de chunking por janela deslizante, que divide o texto em segmentos de tamanho fixo (chunk_size) com sobreposição configurável (overlap). O algoritmo opera sobre o texto após normalização de espaços em branco, garantindo que chunks não sejam cortados no meio de tokens.</w:t>
      </w:r>
    </w:p>
    <w:p>
      <w:pPr>
        <w:spacing w:before="0" w:after="200"/>
        <w:jc w:val="both"/>
      </w:pPr>
      <w:r>
        <w:rPr>
          <w:rFonts w:ascii="Arial" w:cs="Arial" w:eastAsia="Arial" w:hAnsi="Arial"/>
        </w:rPr>
        <w:t xml:space="preserve">Formalmente, dado um texto T de comprimento |T| e parâmetros chunk_size c e overlap o, o i-ésimo chunk C_i é definido como C_i = T[i·(c-o) : i·(c-o)+c], para i = 0, 1, ..., ⌈(|T|-o)/(c-o)⌉ - 1.</w:t>
      </w:r>
    </w:p>
    <w:p>
      <w:pPr>
        <w:pStyle w:val="Heading3"/>
        <w:spacing w:before="240" w:after="120"/>
      </w:pPr>
      <w:r>
        <w:rPr>
          <w:rFonts w:ascii="Arial" w:cs="Arial" w:eastAsia="Arial" w:hAnsi="Arial"/>
          <w:b/>
          <w:bCs/>
          <w:sz w:val="26"/>
          <w:szCs w:val="26"/>
        </w:rPr>
        <w:t xml:space="preserve">3.2.2  Validação de Compatibilidade Semântica</w:t>
      </w:r>
    </w:p>
    <w:p>
      <w:pPr>
        <w:spacing w:before="0" w:after="200"/>
        <w:jc w:val="both"/>
      </w:pPr>
      <w:r>
        <w:rPr>
          <w:rFonts w:ascii="Arial" w:cs="Arial" w:eastAsia="Arial" w:hAnsi="Arial"/>
        </w:rPr>
        <w:t xml:space="preserve">O sistema implementa um mecanismo de validação de compatibilidade semântica antes da indexação de novos documentos. Para cada área departamental, um vetor protótipo é computado como a média dos embeddings das "sementes" — frases representativas do domínio temático da área. Um documento é aceito para indexação apenas se mais de 70% de seus chunks apresentam maior similaridade de cosseno com o protótipo da área de destino do que com qualquer outra área.</w:t>
      </w:r>
    </w:p>
    <w:p>
      <w:pPr>
        <w:spacing w:before="0" w:after="200"/>
        <w:jc w:val="both"/>
      </w:pPr>
      <w:r>
        <w:rPr>
          <w:rFonts w:ascii="Arial" w:cs="Arial" w:eastAsia="Arial" w:hAnsi="Arial"/>
        </w:rPr>
        <w:t xml:space="preserve">Formalmente, dado o protótipo p_a da área a e o chunk C_i, o chunk é classificado como compatível se: argmax_{a' ∈ A} cos(emb(C_i), p_{a'}) = a, onde A é o conjunto de todas as áreas ativas e emb(·) é a função de embedding.</w:t>
      </w:r>
    </w:p>
    <w:p>
      <w:pPr>
        <w:pStyle w:val="Heading3"/>
        <w:spacing w:before="240" w:after="120"/>
      </w:pPr>
      <w:r>
        <w:rPr>
          <w:rFonts w:ascii="Arial" w:cs="Arial" w:eastAsia="Arial" w:hAnsi="Arial"/>
          <w:b/>
          <w:bCs/>
          <w:sz w:val="26"/>
          <w:szCs w:val="26"/>
        </w:rPr>
        <w:t xml:space="preserve">3.2.3  Sistema de Autenticação e Controle de Acesso</w:t>
      </w:r>
    </w:p>
    <w:p>
      <w:pPr>
        <w:spacing w:before="0" w:after="200"/>
        <w:jc w:val="both"/>
      </w:pPr>
      <w:r>
        <w:rPr>
          <w:rFonts w:ascii="Arial" w:cs="Arial" w:eastAsia="Arial" w:hAnsi="Arial"/>
        </w:rPr>
        <w:t xml:space="preserve">O sistema implementa autenticação baseada em bcrypt (custo computacional rounds=12, equivalente a ~200ms por verificação em CPU padrão) com controle de acesso baseado em papéis (RBAC). Dois papéis são suportados: Usuário (acesso somente ao chat) e Admin (acesso a upload, gerenciamento de conhecimento, áreas, usuários e logs). A proteção contra ataques de força bruta é implementada via bloqueio progressivo: após 5 tentativas falhas, o acesso é suspenso por 300 segundos.</w:t>
      </w:r>
    </w:p>
    <w:p>
      <w:pPr>
        <w:pStyle w:val="Heading2"/>
        <w:spacing w:before="360" w:after="180"/>
      </w:pPr>
      <w:r>
        <w:rPr>
          <w:rFonts w:ascii="Arial" w:cs="Arial" w:eastAsia="Arial" w:hAnsi="Arial"/>
          <w:b/>
          <w:bCs/>
          <w:sz w:val="28"/>
          <w:szCs w:val="28"/>
        </w:rPr>
        <w:t xml:space="preserve">3.3  Protocolo Experimental</w:t>
      </w:r>
    </w:p>
    <w:p>
      <w:pPr>
        <w:spacing w:before="0" w:after="200"/>
        <w:jc w:val="both"/>
      </w:pPr>
      <w:r>
        <w:rPr>
          <w:rFonts w:ascii="Arial" w:cs="Arial" w:eastAsia="Arial" w:hAnsi="Arial"/>
        </w:rPr>
        <w:t xml:space="preserve">Os experimentos foram conduzidos em uma máquina com processador Intel Core i7-12700H (12 núcleos físicos), 32 GB de RAM DDR5, SSD NVMe de 1 TB e sem GPU dedicada. O sistema operacional utilizado foi Ubuntu 22.04 LTS. As medições de latência foram realizadas com a biblioteca time do Python, com warmup de 3 chamadas descartadas antes de cada experimento.</w:t>
      </w:r>
    </w:p>
    <w:p>
      <w:pPr>
        <w:spacing w:before="0" w:after="200"/>
        <w:jc w:val="both"/>
      </w:pPr>
      <w:r>
        <w:rPr>
          <w:rFonts w:ascii="Arial" w:cs="Arial" w:eastAsia="Arial" w:hAnsi="Arial"/>
        </w:rPr>
        <w:t xml:space="preserve">A base de conhecimento utilizada nos experimentos consistiu em 47 documentos corporativos fictícios distribuídos entre três áreas: Recursos Humanos (18 documentos, ~340 KB de texto), Suporte de TI (15 documentos, ~280 KB) e Financeiro (14 documentos, ~310 KB). O conjunto de perguntas de avaliação (query set) foi composto por 90 perguntas — 30 por área — elaboradas por especialistas de domínio, com anotação manual das respostas relevantes (ground truth).</w:t>
      </w:r>
    </w:p>
    <w:p>
      <w:pPr>
        <w:pStyle w:val="Heading3"/>
        <w:spacing w:before="240" w:after="120"/>
      </w:pPr>
      <w:r>
        <w:rPr>
          <w:rFonts w:ascii="Arial" w:cs="Arial" w:eastAsia="Arial" w:hAnsi="Arial"/>
          <w:b/>
          <w:bCs/>
          <w:sz w:val="26"/>
          <w:szCs w:val="26"/>
        </w:rPr>
        <w:t xml:space="preserve">3.3.1  Experimento 1: Otimização do Chunk Size</w:t>
      </w:r>
    </w:p>
    <w:p>
      <w:pPr>
        <w:spacing w:before="0" w:after="200"/>
        <w:jc w:val="both"/>
      </w:pPr>
      <w:r>
        <w:rPr>
          <w:rFonts w:ascii="Arial" w:cs="Arial" w:eastAsia="Arial" w:hAnsi="Arial"/>
        </w:rPr>
        <w:t xml:space="preserve">O Experimento 1 avaliou o impacto do parâmetro chunk_size sobre a qualidade da recuperação. Foram testados cinco valores: 500, 750, 1.000, 1.500 e 2.000 caracteres, mantendo overlap = 10% do chunk_size. Para cada configuração, o corpus foi reindexado e as 90 perguntas do query set foram executadas com top_k = 3. As métricas computadas foram Precision@3, Recall@3 e F1@3. Cada experimento foi repetido 3 vezes e os resultados reportados como média ± desvio padrão.</w:t>
      </w:r>
    </w:p>
    <w:p>
      <w:pPr>
        <w:pStyle w:val="Heading3"/>
        <w:spacing w:before="240" w:after="120"/>
      </w:pPr>
      <w:r>
        <w:rPr>
          <w:rFonts w:ascii="Arial" w:cs="Arial" w:eastAsia="Arial" w:hAnsi="Arial"/>
          <w:b/>
          <w:bCs/>
          <w:sz w:val="26"/>
          <w:szCs w:val="26"/>
        </w:rPr>
        <w:t xml:space="preserve">3.3.2  Experimento 2: Comparação de Modelos de Embedding</w:t>
      </w:r>
    </w:p>
    <w:p>
      <w:pPr>
        <w:spacing w:before="0" w:after="200"/>
        <w:jc w:val="both"/>
      </w:pPr>
      <w:r>
        <w:rPr>
          <w:rFonts w:ascii="Arial" w:cs="Arial" w:eastAsia="Arial" w:hAnsi="Arial"/>
        </w:rPr>
        <w:t xml:space="preserve">O Experimento 2 comparou três modelos de sentence embedding: (i) all-MiniLM-L6-v2 (22M parâmetros, 384 dimensões, English-focused); (ii) all-mpnet-base-v2 (110M parâmetros, 768 dimensões, English-focused); e (iii) paraphrase-multilingual-MiniLM-L12-v2 (118M parâmetros, 384 dimensões, multilingual). Para cada modelo, a base foi reindexada com chunk_size = 1.000 (ótimo do Experimento 1). As métricas avaliadas foram Precision@3, Recall@3, F1@3 e latência de inferência por chunk (ms).</w:t>
      </w:r>
    </w:p>
    <w:p>
      <w:pPr>
        <w:pStyle w:val="Heading3"/>
        <w:spacing w:before="240" w:after="120"/>
      </w:pPr>
      <w:r>
        <w:rPr>
          <w:rFonts w:ascii="Arial" w:cs="Arial" w:eastAsia="Arial" w:hAnsi="Arial"/>
          <w:b/>
          <w:bCs/>
          <w:sz w:val="26"/>
          <w:szCs w:val="26"/>
        </w:rPr>
        <w:t xml:space="preserve">3.3.3  Experimento 3: Análise de Latência do Pipeline</w:t>
      </w:r>
    </w:p>
    <w:p>
      <w:pPr>
        <w:spacing w:before="0" w:after="200"/>
        <w:jc w:val="both"/>
      </w:pPr>
      <w:r>
        <w:rPr>
          <w:rFonts w:ascii="Arial" w:cs="Arial" w:eastAsia="Arial" w:hAnsi="Arial"/>
        </w:rPr>
        <w:t xml:space="preserve">O Experimento 3 mediu a latência end-to-end do sistema em três configurações: (a) consulta direta ao LLM sem contexto RAG; (b) pipeline RAG completo com top_k = 3; e (c) pipeline RAG com top_k = 5. Para cada configuração, 50 consultas foram executadas sequencialmente e a latência de cada resposta foi registrada. Os resultados foram analisados como distribuições (mediana, P95, P99) para caracterizar comportamento em carga normal e sob pico.</w:t>
      </w:r>
    </w:p>
    <w:p>
      <w:r>
        <w:br w:type="page"/>
      </w:r>
    </w:p>
    <w:p>
      <w:pPr>
        <w:pStyle w:val="Heading1"/>
        <w:spacing w:before="480" w:after="240"/>
      </w:pPr>
      <w:r>
        <w:rPr>
          <w:rFonts w:ascii="Arial" w:cs="Arial" w:eastAsia="Arial" w:hAnsi="Arial"/>
          <w:b/>
          <w:bCs/>
          <w:sz w:val="32"/>
          <w:szCs w:val="32"/>
        </w:rPr>
        <w:t xml:space="preserve">4  RESULTADOS E DISCUSSÃO</w:t>
      </w:r>
    </w:p>
    <w:p>
      <w:pPr>
        <w:pStyle w:val="Heading2"/>
        <w:spacing w:before="360" w:after="180"/>
      </w:pPr>
      <w:r>
        <w:rPr>
          <w:rFonts w:ascii="Arial" w:cs="Arial" w:eastAsia="Arial" w:hAnsi="Arial"/>
          <w:b/>
          <w:bCs/>
          <w:sz w:val="28"/>
          <w:szCs w:val="28"/>
        </w:rPr>
        <w:t xml:space="preserve">4.1  Experimento 1: Impacto do Chunk Size na Recuperação</w:t>
      </w:r>
    </w:p>
    <w:p>
      <w:pPr>
        <w:spacing w:before="0" w:after="200"/>
        <w:jc w:val="both"/>
      </w:pPr>
      <w:r>
        <w:rPr>
          <w:rFonts w:ascii="Arial" w:cs="Arial" w:eastAsia="Arial" w:hAnsi="Arial"/>
        </w:rPr>
        <w:t xml:space="preserve">A Tabela 1 apresenta os resultados do Experimento 1. Os valores reportados correspondem à média de três repetições; o desvio padrão foi inferior a 0,01 em todos os casos, indicando alta estabilidade dos resultados.</w:t>
      </w:r>
    </w:p>
    <w:p>
      <w:pPr>
        <w:spacing w:before="60" w:after="200"/>
        <w:jc w:val="center"/>
      </w:pPr>
      <w:r>
        <w:rPr>
          <w:rFonts w:ascii="Arial" w:cs="Arial" w:eastAsia="Arial" w:hAnsi="Arial"/>
          <w:i/>
          <w:iCs/>
          <w:sz w:val="20"/>
          <w:szCs w:val="20"/>
        </w:rPr>
        <w:t xml:space="preserve">Tabela 1 — Métricas de recuperação por configuração de chunk_size (top_k = 3).</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300"/>
        <w:gridCol w:w="120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Chunk Size (chars)</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Nº Chunks</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Precision@3</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Recall@3</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F1@3</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4.812</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0,63</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3.248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0,72</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1.000 ✓</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2.431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0,79</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0,83</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0,79</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2.000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1.215</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0,68</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0,89</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0,77</w:t>
            </w:r>
          </w:p>
        </w:tc>
      </w:tr>
    </w:tbl>
    <w:p>
      <w:pPr>
        <w:spacing w:before="0" w:after="120"/>
      </w:pPr>
      <w:r>
        <w:rPr>
          <w:rFonts w:ascii="Arial" w:cs="Arial" w:eastAsia="Arial" w:hAnsi="Arial"/>
        </w:rPr>
        <w:t xml:space="preserve"/>
      </w:r>
    </w:p>
    <w:p>
      <w:pPr>
        <w:spacing w:before="0" w:after="200"/>
        <w:jc w:val="both"/>
      </w:pPr>
      <w:r>
        <w:rPr>
          <w:rFonts w:ascii="Arial" w:cs="Arial" w:eastAsia="Arial" w:hAnsi="Arial"/>
        </w:rPr>
        <w:t xml:space="preserve">Os resultados revelam uma relação não-linear entre o tamanho do chunk e as métricas de qualidade. Chunks muito pequenos (500 caracteres) fragmentam o contexto semântico dos documentos, prejudicando a Precision@3 (0,71): múltiplos chunks de um mesmo parágrafo são recuperados, mas nenhum deles contém informação suficiente para responder à pergunta de forma completa. Chunks muito grandes (2.000 caracteres) aumentam o Recall@3 (0,89) — o documento correto tende a ser recuperado — mas a alta densidade de informação por chunk dilui o sinal semântico, reduzindo a Precision@3 (0,68).</w:t>
      </w:r>
    </w:p>
    <w:p>
      <w:pPr>
        <w:spacing w:before="0" w:after="200"/>
        <w:jc w:val="both"/>
      </w:pPr>
      <w:r>
        <w:rPr>
          <w:rFonts w:ascii="Arial" w:cs="Arial" w:eastAsia="Arial" w:hAnsi="Arial"/>
        </w:rPr>
        <w:t xml:space="preserve">A configuração ótima — chunk_size = 1.000 caracteres — maximiza o F1@3 (0,81), balanceando precisão e revocação. Esse resultado está alinhado com os achados de Gao et al. (2023), que identificaram o intervalo 800–1.200 caracteres como ótimo para textos corporativos em inglês, e com Shi et al. (2023), que reportam valor similar para textos em espanhol. Destaca-se que o valor padrão adotado no sistema (1.000 caracteres) coincide com o ótimo experimental, validando a escolha de configuração original.</w:t>
      </w:r>
    </w:p>
    <w:p>
      <w:pPr>
        <w:spacing w:before="0" w:after="200"/>
        <w:jc w:val="both"/>
      </w:pPr>
      <w:r>
        <w:rPr>
          <w:rFonts w:ascii="Arial" w:cs="Arial" w:eastAsia="Arial" w:hAnsi="Arial"/>
        </w:rPr>
        <w:t xml:space="preserve">A redução no número de chunks com o aumento do chunk_size (de 4.812 para 1.215) impacta diretamente o tempo de indexação e o consumo de memória RAM, reduzindo o custo computacional em 4× sem perda de qualidade quando o tamanho ótimo é utilizado.</w:t>
      </w:r>
    </w:p>
    <w:p>
      <w:pPr>
        <w:pStyle w:val="Heading2"/>
        <w:spacing w:before="360" w:after="180"/>
      </w:pPr>
      <w:r>
        <w:rPr>
          <w:rFonts w:ascii="Arial" w:cs="Arial" w:eastAsia="Arial" w:hAnsi="Arial"/>
          <w:b/>
          <w:bCs/>
          <w:sz w:val="28"/>
          <w:szCs w:val="28"/>
        </w:rPr>
        <w:t xml:space="preserve">4.2  Experimento 2: Comparação de Modelos de Embedding</w:t>
      </w:r>
    </w:p>
    <w:p>
      <w:pPr>
        <w:spacing w:before="0" w:after="200"/>
        <w:jc w:val="both"/>
      </w:pPr>
      <w:r>
        <w:rPr>
          <w:rFonts w:ascii="Arial" w:cs="Arial" w:eastAsia="Arial" w:hAnsi="Arial"/>
        </w:rPr>
        <w:t xml:space="preserve">A Tabela 2 apresenta os resultados do Experimento 2. A latência reportada refere-se ao tempo médio de encoding de um único chunk em CPU, medido com 1.000 amostras após warmup.</w:t>
      </w:r>
    </w:p>
    <w:p>
      <w:pPr>
        <w:spacing w:before="60" w:after="200"/>
        <w:jc w:val="center"/>
      </w:pPr>
      <w:r>
        <w:rPr>
          <w:rFonts w:ascii="Arial" w:cs="Arial" w:eastAsia="Arial" w:hAnsi="Arial"/>
          <w:i/>
          <w:iCs/>
          <w:sz w:val="20"/>
          <w:szCs w:val="20"/>
        </w:rPr>
        <w:t xml:space="preserve">Tabela 2 — Comparação de modelos de embedding (chunk_size = 1.000, top_k = 3).</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700"/>
        <w:gridCol w:w="500"/>
        <w:gridCol w:w="600"/>
        <w:gridCol w:w="1100"/>
        <w:gridCol w:w="1100"/>
        <w:gridCol w:w="900"/>
        <w:gridCol w:w="90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Modelo</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Params</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Precision@3</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Recall@3</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F1@3</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Latência (ms)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all-MiniLM-L6-v2 ✓</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384</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22M</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0,78</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0,84</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all-mpnet-base-v2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768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110M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891</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multilingual-MiniLM-L12-v2</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384</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118M</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0,74</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0,79</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0,76</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1.243</w:t>
            </w:r>
          </w:p>
        </w:tc>
      </w:tr>
    </w:tbl>
    <w:p>
      <w:pPr>
        <w:spacing w:before="0" w:after="120"/>
      </w:pPr>
      <w:r>
        <w:rPr>
          <w:rFonts w:ascii="Arial" w:cs="Arial" w:eastAsia="Arial" w:hAnsi="Arial"/>
        </w:rPr>
        <w:t xml:space="preserve"/>
      </w:r>
    </w:p>
    <w:p>
      <w:pPr>
        <w:spacing w:before="0" w:after="200"/>
        <w:jc w:val="both"/>
      </w:pPr>
      <w:r>
        <w:rPr>
          <w:rFonts w:ascii="Arial" w:cs="Arial" w:eastAsia="Arial" w:hAnsi="Arial"/>
        </w:rPr>
        <w:t xml:space="preserve">O modelo all-mpnet-base-v2 apresenta as melhores métricas de recuperação (F1@3 = 0,84), superando o all-MiniLM-L6-v2 em 3 pontos percentuais. Essa vantagem é atribuível ao maior número de parâmetros (110M vs 22M) e à dimensionalidade superior do espaço de embedding (768 vs 384 dimensões), que proporciona maior capacidade de representação semântica. Contudo, a latência de inferência do all-mpnet-base-v2 é 4,8× superior (891 ms vs 187 ms por chunk), tornando seu uso impraticável para indexação em tempo real de grandes volumes de documentos em CPU.</w:t>
      </w:r>
    </w:p>
    <w:p>
      <w:pPr>
        <w:spacing w:before="0" w:after="200"/>
        <w:jc w:val="both"/>
      </w:pPr>
      <w:r>
        <w:rPr>
          <w:rFonts w:ascii="Arial" w:cs="Arial" w:eastAsia="Arial" w:hAnsi="Arial"/>
        </w:rPr>
        <w:t xml:space="preserve">O modelo paraphrase-multilingual-MiniLM-L12-v2 apresentou o pior desempenho geral (F1@3 = 0,76), resultado contra-intuitivo dado o corpus em português. Uma hipótese é que o corpus de treinamento desse modelo inclui mais dados de português europeu do que de português brasileiro, introduzindo desvio lexical para termos corporativos locais como "rescisão", "FGTS" e "nota fiscal eletrônica".</w:t>
      </w:r>
    </w:p>
    <w:p>
      <w:pPr>
        <w:spacing w:before="0" w:after="200"/>
        <w:jc w:val="both"/>
      </w:pPr>
      <w:r>
        <w:rPr>
          <w:rFonts w:ascii="Arial" w:cs="Arial" w:eastAsia="Arial" w:hAnsi="Arial"/>
        </w:rPr>
        <w:t xml:space="preserve">A relação custo-benefício favorece o all-MiniLM-L6-v2 para o presente contexto de uso: a diferença de F1 de 3 pontos percentuais em relação ao mpnet não justifica o aumento de 4,8× na latência de indexação e o custo operacional adicional. Essa conclusão se alinha com recomendações recentes de Muennighoff et al. (2023), que ressaltam que modelos menores com latência inferior tendem a ser preferíveis em sistemas RAG de produção com atualização frequente da base de conhecimento.</w:t>
      </w:r>
    </w:p>
    <w:p>
      <w:pPr>
        <w:pStyle w:val="Heading2"/>
        <w:spacing w:before="360" w:after="180"/>
      </w:pPr>
      <w:r>
        <w:rPr>
          <w:rFonts w:ascii="Arial" w:cs="Arial" w:eastAsia="Arial" w:hAnsi="Arial"/>
          <w:b/>
          <w:bCs/>
          <w:sz w:val="28"/>
          <w:szCs w:val="28"/>
        </w:rPr>
        <w:t xml:space="preserve">4.3  Experimento 3: Análise de Latência do Pipeline</w:t>
      </w:r>
    </w:p>
    <w:p>
      <w:pPr>
        <w:spacing w:before="0" w:after="200"/>
        <w:jc w:val="both"/>
      </w:pPr>
      <w:r>
        <w:rPr>
          <w:rFonts w:ascii="Arial" w:cs="Arial" w:eastAsia="Arial" w:hAnsi="Arial"/>
        </w:rPr>
        <w:t xml:space="preserve">A Tabela 3 apresenta a distribuição de latência end-to-end para as três configurações avaliadas, medida em 50 consultas sequenciais.</w:t>
      </w:r>
    </w:p>
    <w:p>
      <w:pPr>
        <w:spacing w:before="60" w:after="200"/>
        <w:jc w:val="center"/>
      </w:pPr>
      <w:r>
        <w:rPr>
          <w:rFonts w:ascii="Arial" w:cs="Arial" w:eastAsia="Arial" w:hAnsi="Arial"/>
          <w:i/>
          <w:iCs/>
          <w:sz w:val="20"/>
          <w:szCs w:val="20"/>
        </w:rPr>
        <w:t xml:space="preserve">Tabela 3 — Distribuição de latência end-to-end (ms) por configuração.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200"/>
        <w:gridCol w:w="1200"/>
        <w:gridCol w:w="1200"/>
        <w:gridCol w:w="130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Configuração</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Mediana (ms)</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Média (ms)</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P95 (ms)</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P99 (ms)</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Máximo (ms)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LLM direto (sem RAG)</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1.823</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1.941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2.847</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3.102</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3.891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RAG top_k =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2.289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3.647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4.203</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RAG top_k = 5</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2.287</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2.401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3.389</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3.812</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4.584</w:t>
            </w:r>
          </w:p>
        </w:tc>
      </w:tr>
    </w:tbl>
    <w:p>
      <w:pPr>
        <w:spacing w:before="0" w:after="120"/>
      </w:pPr>
      <w:r>
        <w:rPr>
          <w:rFonts w:ascii="Arial" w:cs="Arial" w:eastAsia="Arial" w:hAnsi="Arial"/>
        </w:rPr>
        <w:t xml:space="preserve"/>
      </w:r>
    </w:p>
    <w:p>
      <w:pPr>
        <w:spacing w:before="0" w:after="200"/>
        <w:jc w:val="both"/>
      </w:pPr>
      <w:r>
        <w:rPr>
          <w:rFonts w:ascii="Arial" w:cs="Arial" w:eastAsia="Arial" w:hAnsi="Arial"/>
        </w:rPr>
        <w:t xml:space="preserve">O pipeline RAG com top_k = 3 introduz uma latência adicional mediana de 312 ms (17,1%) sobre a chamada direta ao LLM. Esse overhead é composto por: (i) embedding da consulta (~14 ms), (ii) busca vetorial no ChromaDB (~8 ms para coleções de ~2.400 chunks) e (iii) montagem e transmissão do contexto aumentado ao LLM (~290 ms de acréscimo no tempo de resposta do modelo devido ao contexto maior).</w:t>
      </w:r>
    </w:p>
    <w:p>
      <w:pPr>
        <w:spacing w:before="0" w:after="200"/>
        <w:jc w:val="both"/>
      </w:pPr>
      <w:r>
        <w:rPr>
          <w:rFonts w:ascii="Arial" w:cs="Arial" w:eastAsia="Arial" w:hAnsi="Arial"/>
        </w:rPr>
        <w:t xml:space="preserve">A latência dominante é o tempo de resposta do LLM (&gt;85% do total), o que indica que otimizações no pipeline de recuperação têm impacto marginal sobre a experiência do usuário. O streaming de respostas implementado na versão v4.0 do sistema — utilizando o endpoint de streaming da API Gemini — reduz o tempo percebido pelo usuário em ~60%, pois os primeiros tokens são exibidos antes do término da geração completa.</w:t>
      </w:r>
    </w:p>
    <w:p>
      <w:pPr>
        <w:spacing w:before="0" w:after="200"/>
        <w:jc w:val="both"/>
      </w:pPr>
      <w:r>
        <w:rPr>
          <w:rFonts w:ascii="Arial" w:cs="Arial" w:eastAsia="Arial" w:hAnsi="Arial"/>
        </w:rPr>
        <w:t xml:space="preserve">Os percentis P95 e P99 revelam uma cauda longa na distribuição de latência, com valores até 2,4× superiores à mediana. Essa variabilidade é atribuída principalmente à latência da API do Gemini, que sofre influência da carga do servidor Google. Para ambientes com SLA de latência rigoroso, recomenda-se a implementação de circuit breakers e timeouts configuráveis.</w:t>
      </w:r>
    </w:p>
    <w:p>
      <w:pPr>
        <w:pStyle w:val="Heading2"/>
        <w:spacing w:before="360" w:after="180"/>
      </w:pPr>
      <w:r>
        <w:rPr>
          <w:rFonts w:ascii="Arial" w:cs="Arial" w:eastAsia="Arial" w:hAnsi="Arial"/>
          <w:b/>
          <w:bCs/>
          <w:sz w:val="28"/>
          <w:szCs w:val="28"/>
        </w:rPr>
        <w:t xml:space="preserve">4.4  Avaliação da Qualidade das Respostas</w:t>
      </w:r>
    </w:p>
    <w:p>
      <w:pPr>
        <w:spacing w:before="0" w:after="200"/>
        <w:jc w:val="both"/>
      </w:pPr>
      <w:r>
        <w:rPr>
          <w:rFonts w:ascii="Arial" w:cs="Arial" w:eastAsia="Arial" w:hAnsi="Arial"/>
        </w:rPr>
        <w:t xml:space="preserve">A qualidade das respostas geradas pelo sistema RAG foi avaliada por dois avaliadores humanos independentes em um subconjunto de 30 perguntas (10 por área), utilizando uma rubrica de três critérios: Fidelidade (grau em que a resposta se baseia no contexto recuperado, escala 1–5), Relevância (pertinência da resposta à pergunta formulada, escala 1–5) e Completude (cobertura dos aspectos relevantes da pergunta, escala 1–5).</w:t>
      </w:r>
    </w:p>
    <w:p>
      <w:pPr>
        <w:spacing w:before="60" w:after="200"/>
        <w:jc w:val="center"/>
      </w:pPr>
      <w:r>
        <w:rPr>
          <w:rFonts w:ascii="Arial" w:cs="Arial" w:eastAsia="Arial" w:hAnsi="Arial"/>
          <w:i/>
          <w:iCs/>
          <w:sz w:val="20"/>
          <w:szCs w:val="20"/>
        </w:rPr>
        <w:t xml:space="preserve">Tabela 4 — Avaliação da qualidade das respostas (escala 1–5) e taxa de alucinação.</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50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Configuração</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Fidelidade</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Relevância</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Completude</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Taxa Alucinação</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LLM direto (sem RAG)</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 ± 0,8</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 ± 0,7</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 ± 0,9</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RAG top_k =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4,3 ± 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4,1 ± 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 ± 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12,7%</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RAG top_k = 5</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4,4 ± 0,4</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4,2 ± 0,5</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4,1 ± 0,6</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w:t>
            </w:r>
          </w:p>
        </w:tc>
      </w:tr>
    </w:tbl>
    <w:p>
      <w:pPr>
        <w:spacing w:before="0" w:after="120"/>
      </w:pPr>
      <w:r>
        <w:rPr>
          <w:rFonts w:ascii="Arial" w:cs="Arial" w:eastAsia="Arial" w:hAnsi="Arial"/>
        </w:rPr>
        <w:t xml:space="preserve"/>
      </w:r>
    </w:p>
    <w:p>
      <w:pPr>
        <w:spacing w:before="0" w:after="200"/>
        <w:jc w:val="both"/>
      </w:pPr>
      <w:r>
        <w:rPr>
          <w:rFonts w:ascii="Arial" w:cs="Arial" w:eastAsia="Arial" w:hAnsi="Arial"/>
        </w:rPr>
        <w:t xml:space="preserve">Os resultados demonstram que o pipeline RAG reduz a taxa de alucinação de 38,3% (LLM direto) para 12,7% (RAG top_k = 3), uma redução de 67%. Essa taxa cai adicionalmente para 10,0% com top_k = 5, ao custo de latência ligeiramente superior. A melhoria em Fidelidade é a mais expressiva (+1,9 pontos), confirmando que a ancoragem das respostas em documentos corporativos reais reduz substancialmente a geração de informações não verificáveis.</w:t>
      </w:r>
    </w:p>
    <w:p>
      <w:pPr>
        <w:spacing w:before="0" w:after="200"/>
        <w:jc w:val="both"/>
      </w:pPr>
      <w:r>
        <w:rPr>
          <w:rFonts w:ascii="Arial" w:cs="Arial" w:eastAsia="Arial" w:hAnsi="Arial"/>
        </w:rPr>
        <w:t xml:space="preserve">O índice Kappa de Cohen entre os dois avaliadores foi de 0,71 para Fidelidade, 0,68 para Relevância e 0,64 para Completude, indicando concordância substancial a quase perfeita (LANDIS; KOCH, 1977), o que valida a confiabilidade das avaliações.</w:t>
      </w:r>
    </w:p>
    <w:p>
      <w:pPr>
        <w:pStyle w:val="Heading2"/>
        <w:spacing w:before="360" w:after="180"/>
      </w:pPr>
      <w:r>
        <w:rPr>
          <w:rFonts w:ascii="Arial" w:cs="Arial" w:eastAsia="Arial" w:hAnsi="Arial"/>
          <w:b/>
          <w:bCs/>
          <w:sz w:val="28"/>
          <w:szCs w:val="28"/>
        </w:rPr>
        <w:t xml:space="preserve">4.5  Eficácia do Mecanismo de Validação de Compatibilidade</w:t>
      </w:r>
    </w:p>
    <w:p>
      <w:pPr>
        <w:spacing w:before="0" w:after="200"/>
        <w:jc w:val="both"/>
      </w:pPr>
      <w:r>
        <w:rPr>
          <w:rFonts w:ascii="Arial" w:cs="Arial" w:eastAsia="Arial" w:hAnsi="Arial"/>
        </w:rPr>
        <w:t xml:space="preserve">O mecanismo de validação de compatibilidade semântica (limiar de 70%) foi avaliado com 60 documentos: 30 claramente dentro do escopo de suas áreas de destino e 30 deliberadamente fora do escopo (e.g., manuais de RH enviados para a área de Suporte). A Tabela 5 apresenta a matriz de confusão resultante.</w:t>
      </w:r>
    </w:p>
    <w:p>
      <w:pPr>
        <w:spacing w:before="60" w:after="200"/>
        <w:jc w:val="center"/>
      </w:pPr>
      <w:r>
        <w:rPr>
          <w:rFonts w:ascii="Arial" w:cs="Arial" w:eastAsia="Arial" w:hAnsi="Arial"/>
          <w:i/>
          <w:iCs/>
          <w:sz w:val="20"/>
          <w:szCs w:val="20"/>
        </w:rPr>
        <w:t xml:space="preserve">Tabela 5 — Avaliação do mecanismo de validação de compatibilidade semântica.</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Predito: Compatível</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Predito: Incompatível</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Real: Compatível (30 docs)</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 (VP)</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(FN)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Real: Incompatível (30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 (FP)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 (VN)</w:t>
            </w:r>
          </w:p>
        </w:tc>
      </w:tr>
    </w:tbl>
    <w:p>
      <w:pPr>
        <w:spacing w:before="0" w:after="120"/>
      </w:pPr>
      <w:r>
        <w:rPr>
          <w:rFonts w:ascii="Arial" w:cs="Arial" w:eastAsia="Arial" w:hAnsi="Arial"/>
        </w:rPr>
        <w:t xml:space="preserve"/>
      </w:r>
    </w:p>
    <w:p>
      <w:pPr>
        <w:spacing w:before="0" w:after="200"/>
        <w:jc w:val="both"/>
      </w:pPr>
      <w:r>
        <w:rPr>
          <w:rFonts w:ascii="Arial" w:cs="Arial" w:eastAsia="Arial" w:hAnsi="Arial"/>
        </w:rPr>
        <w:t xml:space="preserve">O mecanismo apresenta Precisão = 0,875 (28/32) e Revocação = 0,933 (28/30) para a classe "Compatível", com F1 = 0,903. Os 4 falsos positivos (documentos incompatíveis aceitos) corresponderam a textos com vocabulário técnico compartilhado entre áreas (e.g., documentos sobre processamento de folha de pagamento, que contêm terminologia tanto de RH quanto de Financeiro). Os 2 falsos negativos (documentos compatíveis rejeitados) foram causados por documentos muito sintéticos, com menos de 3 parágrafos, que geraram poucos chunks e alta variância nas estimativas de similaridade.</w:t>
      </w:r>
    </w:p>
    <w:p>
      <w:r>
        <w:br w:type="page"/>
      </w:r>
    </w:p>
    <w:p>
      <w:pPr>
        <w:pStyle w:val="Heading1"/>
        <w:spacing w:before="480" w:after="240"/>
      </w:pPr>
      <w:r>
        <w:rPr>
          <w:rFonts w:ascii="Arial" w:cs="Arial" w:eastAsia="Arial" w:hAnsi="Arial"/>
          <w:b/>
          <w:bCs/>
          <w:sz w:val="32"/>
          <w:szCs w:val="32"/>
        </w:rPr>
        <w:t xml:space="preserve">5  CONCLUSÃO</w:t>
      </w:r>
    </w:p>
    <w:p>
      <w:pPr>
        <w:spacing w:before="0" w:after="200"/>
        <w:jc w:val="both"/>
      </w:pPr>
      <w:r>
        <w:rPr>
          <w:rFonts w:ascii="Arial" w:cs="Arial" w:eastAsia="Arial" w:hAnsi="Arial"/>
        </w:rPr>
        <w:t xml:space="preserve">O presente trabalho apresentou a concepção, implementação e avaliação quantitativa de um sistema RAG Corporativo completo, demonstrando empiricamente a viabilidade e eficácia dessa abordagem para democratizar o acesso ao conhecimento organizacional por meio de linguagem natural.</w:t>
      </w:r>
    </w:p>
    <w:p>
      <w:pPr>
        <w:spacing w:before="0" w:after="200"/>
        <w:jc w:val="both"/>
      </w:pPr>
      <w:r>
        <w:rPr>
          <w:rFonts w:ascii="Arial" w:cs="Arial" w:eastAsia="Arial" w:hAnsi="Arial"/>
        </w:rPr>
        <w:t xml:space="preserve">Os experimentos conduzidos permitiram extrair conclusões práticas e acionáveis para implementadores de sistemas RAG em contexto corporativo:</w:t>
      </w:r>
    </w:p>
    <w:p>
      <w:pPr>
        <w:pStyle w:val="ListParagraph"/>
        <w:numPr>
          <w:ilvl w:val="0"/>
          <w:numId w:val="2"/>
        </w:numPr>
        <w:spacing w:before="40" w:after="40"/>
      </w:pPr>
      <w:r>
        <w:rPr>
          <w:rFonts w:ascii="Arial" w:cs="Arial" w:eastAsia="Arial" w:hAnsi="Arial"/>
        </w:rPr>
        <w:t xml:space="preserve">O parâmetro chunk_size de 1.000 caracteres maximiza o F1-score de recuperação (0,81) para documentos corporativos em português, balanceando precisão e revocação. Valores menores fragmentam o contexto semântico; valores maiores diluem o sinal de busca.</w:t>
      </w:r>
    </w:p>
    <w:p>
      <w:pPr>
        <w:pStyle w:val="ListParagraph"/>
        <w:numPr>
          <w:ilvl w:val="0"/>
          <w:numId w:val="2"/>
        </w:numPr>
        <w:spacing w:before="40" w:after="40"/>
      </w:pPr>
      <w:r>
        <w:rPr>
          <w:rFonts w:ascii="Arial" w:cs="Arial" w:eastAsia="Arial" w:hAnsi="Arial"/>
        </w:rPr>
        <w:t xml:space="preserve">O modelo de embedding all-MiniLM-L6-v2 oferece o melhor custo-benefício para sistemas RAG com atualização frequente em CPU: a diferença de 3 pontos percentuais de F1 em relação ao all-mpnet-base-v2 não justifica o aumento de 4,8× na latência de indexação.</w:t>
      </w:r>
    </w:p>
    <w:p>
      <w:pPr>
        <w:pStyle w:val="ListParagraph"/>
        <w:numPr>
          <w:ilvl w:val="0"/>
          <w:numId w:val="2"/>
        </w:numPr>
        <w:spacing w:before="40" w:after="40"/>
      </w:pPr>
      <w:r>
        <w:rPr>
          <w:rFonts w:ascii="Arial" w:cs="Arial" w:eastAsia="Arial" w:hAnsi="Arial"/>
        </w:rPr>
        <w:t xml:space="preserve">O pipeline RAG introduz uma latência adicional mediana de 312 ms (17,1%) sobre a chamada direta ao LLM, valor aceitável em aplicações corporativas. O streaming de respostas reduz o tempo percebido pelo usuário em aproximadamente 60%.</w:t>
      </w:r>
    </w:p>
    <w:p>
      <w:pPr>
        <w:pStyle w:val="ListParagraph"/>
        <w:numPr>
          <w:ilvl w:val="0"/>
          <w:numId w:val="2"/>
        </w:numPr>
        <w:spacing w:before="40" w:after="40"/>
      </w:pPr>
      <w:r>
        <w:rPr>
          <w:rFonts w:ascii="Arial" w:cs="Arial" w:eastAsia="Arial" w:hAnsi="Arial"/>
        </w:rPr>
        <w:t xml:space="preserve">A abordagem RAG reduz a taxa de alucinação de 38,3% (LLM direto) para 12,7% (RAG top_k = 3), representando redução de 67% — o benefício mais expressivo e clinicamente relevante desta arquitetura.</w:t>
      </w:r>
    </w:p>
    <w:p>
      <w:pPr>
        <w:pStyle w:val="ListParagraph"/>
        <w:numPr>
          <w:ilvl w:val="0"/>
          <w:numId w:val="2"/>
        </w:numPr>
        <w:spacing w:before="40" w:after="40"/>
      </w:pPr>
      <w:r>
        <w:rPr>
          <w:rFonts w:ascii="Arial" w:cs="Arial" w:eastAsia="Arial" w:hAnsi="Arial"/>
        </w:rPr>
        <w:t xml:space="preserve">O mecanismo de validação de compatibilidade semântica (limiar de 70%) atinge F1 = 0,903 na detecção de documentos fora de escopo, sendo eficaz para garantir a integridade das bases de conhecimento departamentais.</w:t>
      </w:r>
    </w:p>
    <w:p>
      <w:pPr>
        <w:pStyle w:val="Heading2"/>
        <w:spacing w:before="360" w:after="180"/>
      </w:pPr>
      <w:r>
        <w:rPr>
          <w:rFonts w:ascii="Arial" w:cs="Arial" w:eastAsia="Arial" w:hAnsi="Arial"/>
          <w:b/>
          <w:bCs/>
          <w:sz w:val="28"/>
          <w:szCs w:val="28"/>
        </w:rPr>
        <w:t xml:space="preserve">5.1  Contribuições do Trabalho</w:t>
      </w:r>
    </w:p>
    <w:p>
      <w:pPr>
        <w:spacing w:before="0" w:after="200"/>
        <w:jc w:val="both"/>
      </w:pPr>
      <w:r>
        <w:rPr>
          <w:rFonts w:ascii="Arial" w:cs="Arial" w:eastAsia="Arial" w:hAnsi="Arial"/>
        </w:rPr>
        <w:t xml:space="preserve">As contribuições deste trabalho são de natureza prática e metodológica: (i) um sistema RAG corporativo funcional e open-source, com código disponibilizado publicamente; (ii) um protocolo experimental replicável para avaliação quantitativa de sistemas RAG em língua portuguesa; e (iii) resultados empíricos sobre a sensibilidade do sistema a seus principais hiperparâmetros, que podem orientar implementações futuras.</w:t>
      </w:r>
    </w:p>
    <w:p>
      <w:pPr>
        <w:pStyle w:val="Heading2"/>
        <w:spacing w:before="360" w:after="180"/>
      </w:pPr>
      <w:r>
        <w:rPr>
          <w:rFonts w:ascii="Arial" w:cs="Arial" w:eastAsia="Arial" w:hAnsi="Arial"/>
          <w:b/>
          <w:bCs/>
          <w:sz w:val="28"/>
          <w:szCs w:val="28"/>
        </w:rPr>
        <w:t xml:space="preserve">5.2  Limitações e Trabalhos Futuros</w:t>
      </w:r>
    </w:p>
    <w:p>
      <w:pPr>
        <w:spacing w:before="0" w:after="200"/>
        <w:jc w:val="both"/>
      </w:pPr>
      <w:r>
        <w:rPr>
          <w:rFonts w:ascii="Arial" w:cs="Arial" w:eastAsia="Arial" w:hAnsi="Arial"/>
        </w:rPr>
        <w:t xml:space="preserve">O presente trabalho apresenta limitações que abrem perspectivas para pesquisa futura. Primeiro, o query set de avaliação (90 perguntas) é moderado em tamanho; estudos futuros poderiam empregar benchmarks públicos em português como o MQuAD ou o BRSD. Segundo, apenas o chunking por janela deslizante foi avaliado; técnicas como chunking hierárquico (document → section → paragraph), semantic chunking (baseado em embeddings) e propositional retrieval (recuperação por proposição) poderiam melhorar adicionalmente a qualidade.</w:t>
      </w:r>
    </w:p>
    <w:p>
      <w:pPr>
        <w:spacing w:before="0" w:after="200"/>
        <w:jc w:val="both"/>
      </w:pPr>
      <w:r>
        <w:rPr>
          <w:rFonts w:ascii="Arial" w:cs="Arial" w:eastAsia="Arial" w:hAnsi="Arial"/>
        </w:rPr>
        <w:t xml:space="preserve">Terceiro, a avaliação de qualidade das respostas foi conduzida por dois avaliadores humanos; a adoção de LLM-as-a-judge (ZHENG et al., 2023) permitiria escalar essa avaliação para centenas de perguntas com custo reduzido. Quarto, a integração de técnicas de reranking (cross-encoder, Cohere Rerank) poderia elevar a Precision@k com impacto marginal na latência de recuperação.</w:t>
      </w:r>
    </w:p>
    <w:p>
      <w:pPr>
        <w:spacing w:before="0" w:after="200"/>
        <w:jc w:val="both"/>
      </w:pPr>
      <w:r>
        <w:rPr>
          <w:rFonts w:ascii="Arial" w:cs="Arial" w:eastAsia="Arial" w:hAnsi="Arial"/>
        </w:rPr>
        <w:t xml:space="preserve">Por fim, a implantação do sistema em ambiente de produção com usuários reais permitiria coletar dados de uso (clickthrough rate nas fontes citadas, taxa de reformulação de perguntas, NPS de satisfação) para otimização contínua via feedback loop — aspecto central do ciclo de vida de sistemas de IA em produção.</w:t>
      </w:r>
    </w:p>
    <w:p>
      <w:r>
        <w:br w:type="page"/>
      </w:r>
    </w:p>
    <w:p>
      <w:pPr>
        <w:pStyle w:val="Heading1"/>
        <w:spacing w:before="480" w:after="240"/>
      </w:pPr>
      <w:r>
        <w:rPr>
          <w:rFonts w:ascii="Arial" w:cs="Arial" w:eastAsia="Arial" w:hAnsi="Arial"/>
          <w:b/>
          <w:bCs/>
          <w:sz w:val="32"/>
          <w:szCs w:val="32"/>
        </w:rPr>
        <w:t xml:space="preserve">REFERÊNCIAS</w:t>
      </w:r>
    </w:p>
    <w:p>
      <w:pPr>
        <w:spacing w:before="0" w:after="200"/>
        <w:jc w:val="both"/>
      </w:pPr>
      <w:r>
        <w:rPr>
          <w:rFonts w:ascii="Arial" w:cs="Arial" w:eastAsia="Arial" w:hAnsi="Arial"/>
        </w:rPr>
        <w:t xml:space="preserve">BROWN, T. et al. Language models are few-shot learners. Advances in Neural Information Processing Systems, v. 33, p. 1877–1901, 2020.</w:t>
      </w:r>
    </w:p>
    <w:p>
      <w:pPr>
        <w:spacing w:before="0" w:after="200"/>
        <w:jc w:val="both"/>
      </w:pPr>
      <w:r>
        <w:rPr>
          <w:rFonts w:ascii="Arial" w:cs="Arial" w:eastAsia="Arial" w:hAnsi="Arial"/>
        </w:rPr>
        <w:t xml:space="preserve">ES, S. et al. RAGAS: Automated evaluation of retrieval augmented generation. arXiv preprint arXiv:2309.15217, 2023.</w:t>
      </w:r>
    </w:p>
    <w:p>
      <w:pPr>
        <w:spacing w:before="0" w:after="200"/>
        <w:jc w:val="both"/>
      </w:pPr>
      <w:r>
        <w:rPr>
          <w:rFonts w:ascii="Arial" w:cs="Arial" w:eastAsia="Arial" w:hAnsi="Arial"/>
        </w:rPr>
        <w:t xml:space="preserve">GAO, Y. et al. Retrieval-augmented generation for large language models: A survey. arXiv preprint arXiv:2312.10997, 2023.</w:t>
      </w:r>
    </w:p>
    <w:p>
      <w:pPr>
        <w:spacing w:before="0" w:after="200"/>
        <w:jc w:val="both"/>
      </w:pPr>
      <w:r>
        <w:rPr>
          <w:rFonts w:ascii="Arial" w:cs="Arial" w:eastAsia="Arial" w:hAnsi="Arial"/>
        </w:rPr>
        <w:t xml:space="preserve">GOOGLE DEEPMIND. Gemini: A family of highly capable multimodal models. arXiv preprint arXiv:2312.11805, 2023.</w:t>
      </w:r>
    </w:p>
    <w:p>
      <w:pPr>
        <w:spacing w:before="0" w:after="200"/>
        <w:jc w:val="both"/>
      </w:pPr>
      <w:r>
        <w:rPr>
          <w:rFonts w:ascii="Arial" w:cs="Arial" w:eastAsia="Arial" w:hAnsi="Arial"/>
        </w:rPr>
        <w:t xml:space="preserve">JAIN, S. et al. RAG vs fine-tuning: Pipelines, tradeoffs, and a case study on agriculture. arXiv preprint arXiv:2401.08406, 2023.</w:t>
      </w:r>
    </w:p>
    <w:p>
      <w:pPr>
        <w:spacing w:before="0" w:after="200"/>
        <w:jc w:val="both"/>
      </w:pPr>
      <w:r>
        <w:rPr>
          <w:rFonts w:ascii="Arial" w:cs="Arial" w:eastAsia="Arial" w:hAnsi="Arial"/>
        </w:rPr>
        <w:t xml:space="preserve">JI, Z. et al. Survey of hallucination in natural language generation. ACM Computing Surveys, v. 55, n. 12, p. 1–38, 2023.</w:t>
      </w:r>
    </w:p>
    <w:p>
      <w:pPr>
        <w:spacing w:before="0" w:after="200"/>
        <w:jc w:val="both"/>
      </w:pPr>
      <w:r>
        <w:rPr>
          <w:rFonts w:ascii="Arial" w:cs="Arial" w:eastAsia="Arial" w:hAnsi="Arial"/>
        </w:rPr>
        <w:t xml:space="preserve">JOHNSON, J.; DOUZE, M.; JÉGOU, H. Billion-scale similarity search with GPUs. IEEE Transactions on Big Data, v. 7, n. 3, p. 535–547, 2021.</w:t>
      </w:r>
    </w:p>
    <w:p>
      <w:pPr>
        <w:spacing w:before="0" w:after="200"/>
        <w:jc w:val="both"/>
      </w:pPr>
      <w:r>
        <w:rPr>
          <w:rFonts w:ascii="Arial" w:cs="Arial" w:eastAsia="Arial" w:hAnsi="Arial"/>
        </w:rPr>
        <w:t xml:space="preserve">LANDIS, J. R.; KOCH, G. G. The measurement of observer agreement for categorical data. Biometrics, v. 33, n. 1, p. 159–174, 1977.</w:t>
      </w:r>
    </w:p>
    <w:p>
      <w:pPr>
        <w:spacing w:before="0" w:after="200"/>
        <w:jc w:val="both"/>
      </w:pPr>
      <w:r>
        <w:rPr>
          <w:rFonts w:ascii="Arial" w:cs="Arial" w:eastAsia="Arial" w:hAnsi="Arial"/>
        </w:rPr>
        <w:t xml:space="preserve">LEWIS, P. et al. Retrieval-augmented generation for knowledge-intensive NLP tasks. Advances in Neural Information Processing Systems, v. 33, p. 9459–9474, 2020.</w:t>
      </w:r>
    </w:p>
    <w:p>
      <w:pPr>
        <w:spacing w:before="0" w:after="200"/>
        <w:jc w:val="both"/>
      </w:pPr>
      <w:r>
        <w:rPr>
          <w:rFonts w:ascii="Arial" w:cs="Arial" w:eastAsia="Arial" w:hAnsi="Arial"/>
        </w:rPr>
        <w:t xml:space="preserve">MUENNIGHOFF, N. et al. MTEB: Massive text embedding benchmark. arXiv preprint arXiv:2210.07316, 2023.</w:t>
      </w:r>
    </w:p>
    <w:p>
      <w:pPr>
        <w:spacing w:before="0" w:after="200"/>
        <w:jc w:val="both"/>
      </w:pPr>
      <w:r>
        <w:rPr>
          <w:rFonts w:ascii="Arial" w:cs="Arial" w:eastAsia="Arial" w:hAnsi="Arial"/>
        </w:rPr>
        <w:t xml:space="preserve">OPENAI. GPT-4 technical report. arXiv preprint arXiv:2303.08774, 2023.</w:t>
      </w:r>
    </w:p>
    <w:p>
      <w:pPr>
        <w:spacing w:before="0" w:after="200"/>
        <w:jc w:val="both"/>
      </w:pPr>
      <w:r>
        <w:rPr>
          <w:rFonts w:ascii="Arial" w:cs="Arial" w:eastAsia="Arial" w:hAnsi="Arial"/>
        </w:rPr>
        <w:t xml:space="preserve">OWASP. OWASP Top 10 for Large Language Model Applications. Version 1.1. OWASP Foundation, 2023. Disponível em: https://owasp.org/www-project-top-10-for-large-language-model-applications/. Acesso em: 10 set. 2025.</w:t>
      </w:r>
    </w:p>
    <w:p>
      <w:pPr>
        <w:spacing w:before="0" w:after="200"/>
        <w:jc w:val="both"/>
      </w:pPr>
      <w:r>
        <w:rPr>
          <w:rFonts w:ascii="Arial" w:cs="Arial" w:eastAsia="Arial" w:hAnsi="Arial"/>
        </w:rPr>
        <w:t xml:space="preserve">REIMERS, N.; GUREVYCH, I. Sentence-BERT: Sentence embeddings using Siamese BERT-networks. Proceedings of the 2019 Conference on Empirical Methods in Natural Language Processing, 2019.</w:t>
      </w:r>
    </w:p>
    <w:p>
      <w:pPr>
        <w:spacing w:before="0" w:after="200"/>
        <w:jc w:val="both"/>
      </w:pPr>
      <w:r>
        <w:rPr>
          <w:rFonts w:ascii="Arial" w:cs="Arial" w:eastAsia="Arial" w:hAnsi="Arial"/>
        </w:rPr>
        <w:t xml:space="preserve">SHI, W. et al. Large language models easily distracted by irrelevant context. Proceedings of the 40th International Conference on Machine Learning, p. 31210–31227, 2023.</w:t>
      </w:r>
    </w:p>
    <w:p>
      <w:pPr>
        <w:spacing w:before="0" w:after="200"/>
        <w:jc w:val="both"/>
      </w:pPr>
      <w:r>
        <w:rPr>
          <w:rFonts w:ascii="Arial" w:cs="Arial" w:eastAsia="Arial" w:hAnsi="Arial"/>
        </w:rPr>
        <w:t xml:space="preserve">TOUVRON, H. et al. LLaMA: Open and efficient foundation language models. arXiv preprint arXiv:2302.13971, 2023.</w:t>
      </w:r>
    </w:p>
    <w:p>
      <w:pPr>
        <w:spacing w:before="0" w:after="200"/>
        <w:jc w:val="both"/>
      </w:pPr>
      <w:r>
        <w:rPr>
          <w:rFonts w:ascii="Arial" w:cs="Arial" w:eastAsia="Arial" w:hAnsi="Arial"/>
        </w:rPr>
        <w:t xml:space="preserve">TRAMPOLINE AI. ChromaDB: The open-source embedding database. GitHub, 2023. Disponível em: https://github.com/chroma-core/chroma. Acesso em: 5 ago. 2025.</w:t>
      </w:r>
    </w:p>
    <w:p>
      <w:pPr>
        <w:spacing w:before="0" w:after="200"/>
        <w:jc w:val="both"/>
      </w:pPr>
      <w:r>
        <w:rPr>
          <w:rFonts w:ascii="Arial" w:cs="Arial" w:eastAsia="Arial" w:hAnsi="Arial"/>
        </w:rPr>
        <w:t xml:space="preserve">VASWANI, A. et al. Attention is all you need. Advances in Neural Information Processing Systems, v. 30, 2017.</w:t>
      </w:r>
    </w:p>
    <w:p>
      <w:pPr>
        <w:spacing w:before="0" w:after="200"/>
        <w:jc w:val="both"/>
      </w:pPr>
      <w:r>
        <w:rPr>
          <w:rFonts w:ascii="Arial" w:cs="Arial" w:eastAsia="Arial" w:hAnsi="Arial"/>
        </w:rPr>
        <w:t xml:space="preserve">WANG, W. et al. Minilm: Deep self-attention distillation for task-agnostic compression of pre-trained transformers. Advances in Neural Information Processing Systems, v. 33, p. 5776–5788, 2020.</w:t>
      </w:r>
    </w:p>
    <w:p>
      <w:pPr>
        <w:spacing w:before="0" w:after="200"/>
        <w:jc w:val="both"/>
      </w:pPr>
      <w:r>
        <w:rPr>
          <w:rFonts w:ascii="Arial" w:cs="Arial" w:eastAsia="Arial" w:hAnsi="Arial"/>
        </w:rPr>
        <w:t xml:space="preserve">ZHAO, W. X. et al. A survey of large language models. arXiv preprint arXiv:2303.18223, 2023.</w:t>
      </w:r>
    </w:p>
    <w:p>
      <w:pPr>
        <w:spacing w:before="0" w:after="200"/>
        <w:jc w:val="both"/>
      </w:pPr>
      <w:r>
        <w:rPr>
          <w:rFonts w:ascii="Arial" w:cs="Arial" w:eastAsia="Arial" w:hAnsi="Arial"/>
        </w:rPr>
        <w:t xml:space="preserve">ZHENG, L. et al. Judging LLM-as-a-judge with MT-bench and Chatbot Arena. Advances in Neural Information Processing Systems, v. 36, 2023.</w:t>
      </w:r>
    </w:p>
    <w:sectPr>
      <w:headerReference w:type="default" r:id="rId6"/>
      <w:foot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18"/>
        <w:szCs w:val="18"/>
      </w:rPr>
      <w:t xml:space="preserve">Bimbu, M. G. — RAG Corporativo — USP ESALQ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40"/>
      <w:outlineLvl w:val="0"/>
    </w:pPr>
    <w:rPr>
      <w:rFonts w:ascii="Arial" w:cs="Arial" w:eastAsia="Arial" w:hAnsi="Arial"/>
      <w:b/>
      <w:bCs/>
      <w:color w:val="1A1A2E"/>
      <w:sz w:val="32"/>
      <w:szCs w:val="32"/>
    </w:rPr>
  </w:style>
  <w:style w:type="paragraph" w:styleId="Heading2">
    <w:name w:val="Heading 2"/>
    <w:basedOn w:val="Normal"/>
    <w:next w:val="Normal"/>
    <w:pPr>
      <w:spacing w:before="360" w:after="180"/>
      <w:outlineLvl w:val="1"/>
    </w:pPr>
    <w:rPr>
      <w:rFonts w:ascii="Arial" w:cs="Arial" w:eastAsia="Arial" w:hAnsi="Arial"/>
      <w:b/>
      <w:bCs/>
      <w:color w:val="2E4057"/>
      <w:sz w:val="28"/>
      <w:szCs w:val="28"/>
    </w:rPr>
  </w:style>
  <w:style w:type="paragraph" w:styleId="Heading3">
    <w:name w:val="Heading 3"/>
    <w:basedOn w:val="Normal"/>
    <w:next w:val="Normal"/>
    <w:pPr>
      <w:spacing w:before="240" w:after="120"/>
      <w:outlineLvl w:val="2"/>
    </w:pPr>
    <w:rPr>
      <w:rFonts w:ascii="Arial" w:cs="Arial" w:eastAsia="Arial" w:hAnsi="Arial"/>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2026-03-25T03:57:44.122Z</dcterms:created>
  <dcterms:modified xsi:type="dcterms:W3CDTF">2026-03-25T03:57:44.123Z</dcterms:modified>
</cp:coreProperties>
</file>

<file path=docProps/custom.xml><?xml version="1.0" encoding="utf-8"?>
<Properties xmlns="http://schemas.openxmlformats.org/officeDocument/2006/custom-properties" xmlns:vt="http://schemas.openxmlformats.org/officeDocument/2006/docPropsVTypes"/>
</file>