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4ldy4fgxmvz2" w:id="0"/>
      <w:bookmarkEnd w:id="0"/>
      <w:r w:rsidDel="00000000" w:rsidR="00000000" w:rsidRPr="00000000">
        <w:rPr>
          <w:rtl w:val="0"/>
        </w:rPr>
        <w:t xml:space="preserve">GUIA DE REQUERIMIENTOS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 caso de trabajar de forma remota, instalar Forticlient VPN: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Ingresar al enlace https://www.fortinet.com/support/product-downloads#vpn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Descargar la aplicación según su sistema operativo. Una vez descargado, ejecute el instalador.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3781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click en “Next”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369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click en “Next” nuevamente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37623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click en “Install”. Una vez finalizada la instalación abrimos la aplicación.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click en “I accept”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click en “Configurar VPN”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continuación realizamos la configuración para la conexión vpn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Guardamos la configuración, y visualizamos lo siguiente.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 usuario de dominio, ingrese con sus credenciales de lo contrario utilice el Nombre de Usuario: cursogx y Contraseña: Gx2017Eco.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conectado a la red de la empresa, instalar (En el siguiente Orden):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JDK Java 11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Tomcat 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Management Studio 2012 o superior.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Genexus 17 U5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Plus 14.3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instaladores se encuentran en: \\gxlm130.chaco.gov.ar\compartida\Genexus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 los instaladores a su equipo para poder ejecutarlos de forma local.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Ingrese la dirección en el explorador de archivos de windows, éste le solicitará credenciales, debe ingresar: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Usuario: </w:t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cursogx@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chaco.gov.ar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Contraseña: </w:t>
      </w:r>
      <w:r w:rsidDel="00000000" w:rsidR="00000000" w:rsidRPr="00000000">
        <w:rPr>
          <w:rtl w:val="0"/>
        </w:rPr>
        <w:t xml:space="preserve">Gx2017Eco</w:t>
      </w: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5955"/>
        <w:tblGridChange w:id="0">
          <w:tblGrid>
            <w:gridCol w:w="2160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GeneXus 17 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genexus17u5.exe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WW+ 14.3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WWP_Web_v14u3.3.exe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jdk-11.0.10_windows-x64_bin.exe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Tomcat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apache-tomcat-9.0.44.exe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Server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SQLEXPRWT_x64_ESN.exe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finalizada la instalación, debe buscar entre sus programas instalados “GeneXus 17 License Manager”, y seleccione el botón “Select Computer”: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Seleccione la opción “Remote License”, e Ingrese uno de los siguientes: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gxlm130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gxlm131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gxlm132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(si no funciona, agregar al final .chaco.gov.ar, por ejemplo: gxlm130.chaco.gov.ar)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Presione “OK”, y luego puede cerrar la ventana de “GeneXus License Manager”.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caso de que rechace la conexión, clickear en “Advanced” e ingresar: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Usuario: cursogx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Contraseña: Gx2017Eco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mailto:cursogx@chaco.gov.ar" TargetMode="External"/><Relationship Id="rId14" Type="http://schemas.openxmlformats.org/officeDocument/2006/relationships/hyperlink" Target="mailto:cursogx@chaco.gov.ar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