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cffb549a4db444c630f81b20b06680f89ff5272"/>
    <w:p>
      <w:pPr>
        <w:pStyle w:val="Heading1"/>
      </w:pPr>
      <w:r>
        <w:t xml:space="preserve">Pronóstico de Capacidad para el Clúster Europa de AGUNSA (2025–2027)</w:t>
      </w:r>
    </w:p>
    <w:p>
      <w:pPr>
        <w:pStyle w:val="FirstParagraph"/>
      </w:pPr>
      <w:r>
        <w:rPr>
          <w:b/>
          <w:bCs/>
        </w:rPr>
        <w:t xml:space="preserve">Contexto:</w:t>
      </w:r>
      <w:r>
        <w:t xml:space="preserve"> </w:t>
      </w:r>
      <w:r>
        <w:t xml:space="preserve">AGUNSA Europa busca</w:t>
      </w:r>
      <w:r>
        <w:t xml:space="preserve"> </w:t>
      </w:r>
      <w:r>
        <w:rPr>
          <w:b/>
          <w:bCs/>
        </w:rPr>
        <w:t xml:space="preserve">expandir su red de servicios</w:t>
      </w:r>
      <w:r>
        <w:t xml:space="preserve"> </w:t>
      </w:r>
      <w:r>
        <w:t xml:space="preserve">con un enfoque sustentable, lo que exige monitorear masivamente información sobre tecnologías verdes, normativas y prácticas ASG (ambientales, sociales y de gobernanza). Para mantenerse a la vanguardia ecológica, la empresa planea implementar una plataforma de</w:t>
      </w:r>
      <w:r>
        <w:t xml:space="preserve"> </w:t>
      </w:r>
      <w:r>
        <w:rPr>
          <w:b/>
          <w:bCs/>
        </w:rPr>
        <w:t xml:space="preserve">Inteligencia Competitiva y Vigilancia Tecnológica</w:t>
      </w:r>
      <w:r>
        <w:t xml:space="preserve"> </w:t>
      </w:r>
      <w:r>
        <w:t xml:space="preserve">que rastree hasta</w:t>
      </w:r>
      <w:r>
        <w:t xml:space="preserve"> </w:t>
      </w:r>
      <w:r>
        <w:rPr>
          <w:i/>
          <w:iCs/>
        </w:rPr>
        <w:t xml:space="preserve">500 fuentes</w:t>
      </w:r>
      <w:r>
        <w:t xml:space="preserve"> </w:t>
      </w:r>
      <w:r>
        <w:t xml:space="preserve">de información (patentes, papers, noticias, normativas, etc.), clasifique</w:t>
      </w:r>
      <w:r>
        <w:t xml:space="preserve"> </w:t>
      </w:r>
      <w:r>
        <w:rPr>
          <w:i/>
          <w:iCs/>
        </w:rPr>
        <w:t xml:space="preserve">~200 tecnologías verdes</w:t>
      </w:r>
      <w:r>
        <w:t xml:space="preserve">, supervise</w:t>
      </w:r>
      <w:r>
        <w:t xml:space="preserve"> </w:t>
      </w:r>
      <w:r>
        <w:rPr>
          <w:i/>
          <w:iCs/>
        </w:rPr>
        <w:t xml:space="preserve">~300 iniciativas de sostenibilidad de competidores</w:t>
      </w:r>
      <w:r>
        <w:t xml:space="preserve"> </w:t>
      </w:r>
      <w:r>
        <w:t xml:space="preserve">y atienda a</w:t>
      </w:r>
      <w:r>
        <w:t xml:space="preserve"> </w:t>
      </w:r>
      <w:r>
        <w:rPr>
          <w:i/>
          <w:iCs/>
        </w:rPr>
        <w:t xml:space="preserve">200 usuarios</w:t>
      </w:r>
      <w:r>
        <w:t xml:space="preserve"> </w:t>
      </w:r>
      <w:r>
        <w:t xml:space="preserve">simultáneos con</w:t>
      </w:r>
      <w:r>
        <w:t xml:space="preserve"> </w:t>
      </w:r>
      <w:r>
        <w:rPr>
          <w:b/>
          <w:bCs/>
        </w:rPr>
        <w:t xml:space="preserve">actualización diaria</w:t>
      </w:r>
      <w:r>
        <w:t xml:space="preserve">. A continuación se presentan las proyecciones de crecimiento de las Unidades de Predicción Natural (UPN) definidas –y el impacto en los recursos de TI– durante</w:t>
      </w:r>
      <w:r>
        <w:t xml:space="preserve"> </w:t>
      </w:r>
      <w:r>
        <w:rPr>
          <w:b/>
          <w:bCs/>
        </w:rPr>
        <w:t xml:space="preserve">2026–2027</w:t>
      </w:r>
      <w:r>
        <w:t xml:space="preserve">, partiendo desde diciembre de 2025. Estas proyecciones se basan en tendencias globales observadas en la industria (p. ej.,</w:t>
      </w:r>
      <w:r>
        <w:t xml:space="preserve"> </w:t>
      </w:r>
      <w:r>
        <w:rPr>
          <w:i/>
          <w:iCs/>
        </w:rPr>
        <w:t xml:space="preserve">sobreoferta de información</w:t>
      </w:r>
      <w:r>
        <w:t xml:space="preserve">, auge de tecnologías verdes y metas climáticas corporativas), complementadas con supuestos razonables alineados a los parámetros de diseño del sistema.</w:t>
      </w:r>
    </w:p>
    <w:bookmarkStart w:id="28" w:name="Xea8681039c8b511a3d282f988e241a8956ce3f1"/>
    <w:p>
      <w:pPr>
        <w:pStyle w:val="Heading2"/>
      </w:pPr>
      <w:r>
        <w:t xml:space="preserve">Crecimiento Proyectado de las UPN (2025–2027)</w:t>
      </w:r>
    </w:p>
    <w:p>
      <w:pPr>
        <w:pStyle w:val="FirstParagraph"/>
      </w:pPr>
      <w:r>
        <w:rPr>
          <w:b/>
          <w:bCs/>
        </w:rPr>
        <w:t xml:space="preserve">Fuentes de información monitoreadas:</w:t>
      </w:r>
      <w:r>
        <w:t xml:space="preserve"> </w:t>
      </w:r>
      <w:r>
        <w:t xml:space="preserve">Se estima un aumento escalonado en el número de sitios web, APIs y repositorios científicos que la plataforma rastrea, pasando de unas</w:t>
      </w:r>
      <w:r>
        <w:t xml:space="preserve"> </w:t>
      </w:r>
      <w:r>
        <w:rPr>
          <w:i/>
          <w:iCs/>
        </w:rPr>
        <w:t xml:space="preserve">300 fuentes en dic-2025</w:t>
      </w:r>
      <w:r>
        <w:t xml:space="preserve"> </w:t>
      </w:r>
      <w:r>
        <w:t xml:space="preserve">a</w:t>
      </w:r>
      <w:r>
        <w:t xml:space="preserve"> </w:t>
      </w:r>
      <w:r>
        <w:rPr>
          <w:b/>
          <w:bCs/>
        </w:rPr>
        <w:t xml:space="preserve">~600 fuentes en dic-2027</w:t>
      </w:r>
      <w:hyperlink r:id="rId21">
        <w:r>
          <w:rPr>
            <w:rStyle w:val="Hyperlink"/>
          </w:rPr>
          <w:t xml:space="preserve">[1]</w:t>
        </w:r>
      </w:hyperlink>
      <w:r>
        <w:t xml:space="preserve">. Este crecimiento refleja la expansión geográfica y sectorial del negocio, incorporando nuevas fuentes en “olas” conforme AGUNSA extiende su red de operaciones. Por ejemplo, en marzo de 2026 se integraría un conjunto significativo de fuentes europeas (+50), y así sucesivamente cada pocos meses. En la gráfica se observa cómo el conteo de fuentes crece por tramos (ej., saltos en 2026 Q1, Q3, etc.) manteniendo períodos de estabilidad relativa entre expansiones. Este planteamiento es prudente dado que</w:t>
      </w:r>
      <w:r>
        <w:t xml:space="preserve"> </w:t>
      </w:r>
      <w:r>
        <w:rPr>
          <w:i/>
          <w:iCs/>
        </w:rPr>
        <w:t xml:space="preserve">otros sistemas de inteligencia competitiva llegan a monitorear miles de fuentes simultáneamente</w:t>
      </w:r>
      <w:hyperlink r:id="rId21">
        <w:r>
          <w:rPr>
            <w:rStyle w:val="Hyperlink"/>
          </w:rPr>
          <w:t xml:space="preserve">[1]</w:t>
        </w:r>
      </w:hyperlink>
      <w:r>
        <w:t xml:space="preserve">, evidenciando que alcanzar 600 fuentes es factible y necesario para cubrir el universo informativo relevante. Cabe señalar que este incremento de fuentes</w:t>
      </w:r>
      <w:r>
        <w:t xml:space="preserve"> </w:t>
      </w:r>
      <w:r>
        <w:rPr>
          <w:b/>
          <w:bCs/>
        </w:rPr>
        <w:t xml:space="preserve">aumentará proporcionalmente la carga de scrapers</w:t>
      </w:r>
      <w:r>
        <w:t xml:space="preserve"> </w:t>
      </w:r>
      <w:r>
        <w:t xml:space="preserve">(tareas de recolección web) y consultas API, demandando más ancho de banda y potencia de procesamiento en el backend.</w:t>
      </w:r>
    </w:p>
    <w:p>
      <w:pPr>
        <w:pStyle w:val="BodyText"/>
      </w:pPr>
      <w:r>
        <w:rPr>
          <w:i/>
          <w:iCs/>
        </w:rPr>
        <w:t xml:space="preserve">Evolución prevista del número de</w:t>
      </w:r>
      <w:r>
        <w:t xml:space="preserve"> </w:t>
      </w:r>
      <w:r>
        <w:rPr>
          <w:i/>
          <w:iCs/>
        </w:rPr>
        <w:t xml:space="preserve">fuentes de información</w:t>
      </w:r>
      <w:r>
        <w:t xml:space="preserve"> </w:t>
      </w:r>
      <w:r>
        <w:rPr>
          <w:i/>
          <w:iCs/>
        </w:rPr>
        <w:t xml:space="preserve">monitoreadas por la plataforma de AGUNSA Europa (2025–2027). Se incorporan nuevas fuentes en etapas, alcanzando ~600 fuentes hacia finales de 2027. Cada salto corresponde a la entrada de fuentes de nuevos países o sectores.</w:t>
      </w:r>
    </w:p>
    <w:p>
      <w:pPr>
        <w:pStyle w:val="BodyText"/>
      </w:pPr>
      <w:r>
        <w:rPr>
          <w:b/>
          <w:bCs/>
        </w:rPr>
        <w:t xml:space="preserve">Documentos recolectados:</w:t>
      </w:r>
      <w:r>
        <w:t xml:space="preserve"> </w:t>
      </w:r>
      <w:r>
        <w:t xml:space="preserve">En línea con el aumento de fuentes y la creciente producción global de información, la cantidad de</w:t>
      </w:r>
      <w:r>
        <w:t xml:space="preserve"> </w:t>
      </w:r>
      <w:r>
        <w:rPr>
          <w:b/>
          <w:bCs/>
        </w:rPr>
        <w:t xml:space="preserve">ítems de información capturados</w:t>
      </w:r>
      <w:r>
        <w:t xml:space="preserve"> </w:t>
      </w:r>
      <w:r>
        <w:t xml:space="preserve">por la plataforma crecerá de unos</w:t>
      </w:r>
      <w:r>
        <w:t xml:space="preserve"> </w:t>
      </w:r>
      <w:r>
        <w:rPr>
          <w:i/>
          <w:iCs/>
        </w:rPr>
        <w:t xml:space="preserve">18.000 documentos mensuales</w:t>
      </w:r>
      <w:r>
        <w:t xml:space="preserve"> </w:t>
      </w:r>
      <w:r>
        <w:t xml:space="preserve">en dic-2025 a</w:t>
      </w:r>
      <w:r>
        <w:t xml:space="preserve"> </w:t>
      </w:r>
      <w:r>
        <w:rPr>
          <w:b/>
          <w:bCs/>
        </w:rPr>
        <w:t xml:space="preserve">~42.000 documentos por mes</w:t>
      </w:r>
      <w:r>
        <w:t xml:space="preserve"> </w:t>
      </w:r>
      <w:r>
        <w:t xml:space="preserve">hacia dic-2027. Esto equivale a pasar de ~600 documentos por día en promedio a ~1.400 diarios. La tendencia es de fuerte crecimiento casi lineal, con saltos más marcados en los meses donde se agregan fuentes (al haber más orígenes emitiendo datos). Por ejemplo, tras integrar 50 fuentes en mar-2026, el volumen mensual sube de ~18K a ~21K documentos. Esta proyección es consistente con la explosión informativa actual:</w:t>
      </w:r>
      <w:r>
        <w:t xml:space="preserve"> </w:t>
      </w:r>
      <w:r>
        <w:rPr>
          <w:i/>
          <w:iCs/>
        </w:rPr>
        <w:t xml:space="preserve">en el mundo se publican más de 5.000 artículos de noticias en inglés cada día (≈1,5 millones al año)</w:t>
      </w:r>
      <w:hyperlink r:id="rId22">
        <w:r>
          <w:rPr>
            <w:rStyle w:val="Hyperlink"/>
          </w:rPr>
          <w:t xml:space="preserve">[2]</w:t>
        </w:r>
      </w:hyperlink>
      <w:r>
        <w:t xml:space="preserve">, sin contar publicaciones científicas ni patentes. Incluso restringiendo la vigilancia a temas logísticos y de sostenibilidad, AGUNSA deberá procesar decenas de miles de registros mensuales. De hecho, estudios señalan que tal flujo</w:t>
      </w:r>
      <w:r>
        <w:t xml:space="preserve"> </w:t>
      </w:r>
      <w:r>
        <w:rPr>
          <w:i/>
          <w:iCs/>
        </w:rPr>
        <w:t xml:space="preserve">rebasa la capacidad humana de etiquetado manual</w:t>
      </w:r>
      <w:hyperlink r:id="rId22">
        <w:r>
          <w:rPr>
            <w:rStyle w:val="Hyperlink"/>
          </w:rPr>
          <w:t xml:space="preserve">[2]</w:t>
        </w:r>
      </w:hyperlink>
      <w:r>
        <w:t xml:space="preserve">, lo que justifica la inversión en inteligencia automatizada. La curva proyectada sugiere que, acumulativamente, el repositorio de AGUNSA Europa superaría los</w:t>
      </w:r>
      <w:r>
        <w:t xml:space="preserve"> </w:t>
      </w:r>
      <w:r>
        <w:rPr>
          <w:b/>
          <w:bCs/>
        </w:rPr>
        <w:t xml:space="preserve">0,7 millones de documentos almacenados</w:t>
      </w:r>
      <w:r>
        <w:t xml:space="preserve"> </w:t>
      </w:r>
      <w:r>
        <w:t xml:space="preserve">para fines de 2027, cimentando una base de conocimiento histórica robusta. Esto impone retos de</w:t>
      </w:r>
      <w:r>
        <w:t xml:space="preserve"> </w:t>
      </w:r>
      <w:r>
        <w:rPr>
          <w:b/>
          <w:bCs/>
        </w:rPr>
        <w:t xml:space="preserve">indexación semántica</w:t>
      </w:r>
      <w:r>
        <w:t xml:space="preserve"> </w:t>
      </w:r>
      <w:r>
        <w:t xml:space="preserve">(cada nuevo lote de documentos implica carga extra de CPU/RAM para análisis e indexado) y hace más complejas las consultas analíticas con el tiempo, aunque dentro de los límites diseñados (consultas &lt;5 s con índices optimizados).</w:t>
      </w:r>
    </w:p>
    <w:p>
      <w:pPr>
        <w:pStyle w:val="BodyText"/>
      </w:pPr>
      <w:r>
        <w:rPr>
          <w:i/>
          <w:iCs/>
        </w:rPr>
        <w:t xml:space="preserve">Proyección del volumen de</w:t>
      </w:r>
      <w:r>
        <w:t xml:space="preserve"> </w:t>
      </w:r>
      <w:r>
        <w:rPr>
          <w:i/>
          <w:iCs/>
        </w:rPr>
        <w:t xml:space="preserve">documentos recolectados</w:t>
      </w:r>
      <w:r>
        <w:t xml:space="preserve"> </w:t>
      </w:r>
      <w:r>
        <w:rPr>
          <w:i/>
          <w:iCs/>
        </w:rPr>
        <w:t xml:space="preserve">por mes. Aumenta de ~18k en 2025 a ~42k en 2027 conforme crecen las fuentes y la actividad informativa. Este ritmo implica manejar cientos de miles de documentos nuevos al año, acorde con la tendencia global de sobrecarga informativa</w:t>
      </w:r>
      <w:hyperlink r:id="rId22">
        <w:r>
          <w:rPr>
            <w:rStyle w:val="Hyperlink"/>
            <w:i/>
            <w:iCs/>
          </w:rPr>
          <w:t xml:space="preserve">[2]</w:t>
        </w:r>
      </w:hyperlink>
      <w:r>
        <w:rPr>
          <w:i/>
          <w:iCs/>
        </w:rPr>
        <w:t xml:space="preserve">.</w:t>
      </w:r>
    </w:p>
    <w:p>
      <w:pPr>
        <w:pStyle w:val="BodyText"/>
      </w:pPr>
      <w:r>
        <w:rPr>
          <w:b/>
          <w:bCs/>
        </w:rPr>
        <w:t xml:space="preserve">Tecnologías verdes registradas:</w:t>
      </w:r>
      <w:r>
        <w:t xml:space="preserve"> </w:t>
      </w:r>
      <w:r>
        <w:t xml:space="preserve">Corresponde a las categorías únicas de</w:t>
      </w:r>
      <w:r>
        <w:t xml:space="preserve"> </w:t>
      </w:r>
      <w:r>
        <w:rPr>
          <w:b/>
          <w:bCs/>
        </w:rPr>
        <w:t xml:space="preserve">tecnologías sustentables</w:t>
      </w:r>
      <w:r>
        <w:t xml:space="preserve"> </w:t>
      </w:r>
      <w:r>
        <w:t xml:space="preserve">identificadas y seguidas en el sistema (p. ej., clases de innovaciones en energía, transporte limpio, etc.). Se parte de ~</w:t>
      </w:r>
      <w:r>
        <w:rPr>
          <w:i/>
          <w:iCs/>
        </w:rPr>
        <w:t xml:space="preserve">100 categorías consolidadas</w:t>
      </w:r>
      <w:r>
        <w:t xml:space="preserve"> </w:t>
      </w:r>
      <w:r>
        <w:t xml:space="preserve">a fines de 2025 (catalogadas a partir de la experiencia previa), con incrementos graduales a lo largo del periodo y</w:t>
      </w:r>
      <w:r>
        <w:t xml:space="preserve"> </w:t>
      </w:r>
      <w:r>
        <w:rPr>
          <w:i/>
          <w:iCs/>
        </w:rPr>
        <w:t xml:space="preserve">picos cuando surjan “oleadas” de nuevas tecnologías</w:t>
      </w:r>
      <w:r>
        <w:t xml:space="preserve">. La previsión muestra un aumento a</w:t>
      </w:r>
      <w:r>
        <w:t xml:space="preserve"> </w:t>
      </w:r>
      <w:r>
        <w:rPr>
          <w:b/>
          <w:bCs/>
        </w:rPr>
        <w:t xml:space="preserve">~150 categorías hacia 2027</w:t>
      </w:r>
      <w:r>
        <w:t xml:space="preserve">, incluyendo saltos notables en</w:t>
      </w:r>
      <w:r>
        <w:t xml:space="preserve"> </w:t>
      </w:r>
      <w:r>
        <w:rPr>
          <w:b/>
          <w:bCs/>
        </w:rPr>
        <w:t xml:space="preserve">jun-2027</w:t>
      </w:r>
      <w:r>
        <w:t xml:space="preserve"> </w:t>
      </w:r>
      <w:r>
        <w:t xml:space="preserve">(se agregan ~20 tecnologías emergentes de golpe, elevando el total de 120 a 140) y nuevamente a fines de 2027 (+10 categorías). Estas discontinuidades reflejan la posible aparición de</w:t>
      </w:r>
      <w:r>
        <w:t xml:space="preserve"> </w:t>
      </w:r>
      <w:r>
        <w:rPr>
          <w:b/>
          <w:bCs/>
        </w:rPr>
        <w:t xml:space="preserve">innovaciones disruptivas</w:t>
      </w:r>
      <w:r>
        <w:t xml:space="preserve"> </w:t>
      </w:r>
      <w:r>
        <w:t xml:space="preserve">que obliguen a crear nuevas entradas en la ontología tecnológica de AGUNSA. Entre medias, el crecimiento es más paulatino (+2 o +3 categorías por trimestre) a medida que se descubren subvariantes o mejoras de tecnologías existentes. Esta proyección se alinea con las tendencias del sector: el</w:t>
      </w:r>
      <w:r>
        <w:t xml:space="preserve"> </w:t>
      </w:r>
      <w:r>
        <w:rPr>
          <w:b/>
          <w:bCs/>
        </w:rPr>
        <w:t xml:space="preserve">mercado global de tecnología verde crece ~22% CAGR</w:t>
      </w:r>
      <w:r>
        <w:t xml:space="preserve"> </w:t>
      </w:r>
      <w:r>
        <w:t xml:space="preserve">(tasa compuesta anual) según estimaciones recientes</w:t>
      </w:r>
      <w:hyperlink r:id="rId23">
        <w:r>
          <w:rPr>
            <w:rStyle w:val="Hyperlink"/>
          </w:rPr>
          <w:t xml:space="preserve">[3]</w:t>
        </w:r>
      </w:hyperlink>
      <w:r>
        <w:t xml:space="preserve">, lo cual conlleva una diversificación constante de soluciones (energías renovables, electrificación, hidrógeno, captura de carbono, etc.). Asimismo, el volumen de patentes ambientales está en rápido aumento (las concesiones de patentes mundiales subieron ~10% en 2021, récord de la década</w:t>
      </w:r>
      <w:hyperlink r:id="rId24">
        <w:r>
          <w:rPr>
            <w:rStyle w:val="Hyperlink"/>
          </w:rPr>
          <w:t xml:space="preserve">[4]</w:t>
        </w:r>
      </w:hyperlink>
      <w:r>
        <w:t xml:space="preserve">), indicio de que el</w:t>
      </w:r>
      <w:r>
        <w:t xml:space="preserve"> </w:t>
      </w:r>
      <w:r>
        <w:rPr>
          <w:i/>
          <w:iCs/>
        </w:rPr>
        <w:t xml:space="preserve">conocimiento tecnológico relevante prácticamente se duplica cada pocos años</w:t>
      </w:r>
      <w:r>
        <w:t xml:space="preserve">. Por ello, AGUNSA necesitará ampliar continuamente su taxonomía interna de tecnologías verdes, tal como refleja la gráfica. Cada nueva categoría incorporada implicará reprocesar documentos históricos vinculados (consumiendo CPU) y mayor uso de memoria para almacenar vectores semánticos y relaciones en</w:t>
      </w:r>
      <w:r>
        <w:t xml:space="preserve"> </w:t>
      </w:r>
      <w:r>
        <w:rPr>
          <w:i/>
          <w:iCs/>
        </w:rPr>
        <w:t xml:space="preserve">cache</w:t>
      </w:r>
      <w:r>
        <w:t xml:space="preserve">. No obstante, hacia 2027 el total (150 categorías) se mantiene cercano al rango previsto de 200, asegurando cobertura suficiente sin exceder la capacidad de clasificación automática definida.</w:t>
      </w:r>
    </w:p>
    <w:p>
      <w:pPr>
        <w:pStyle w:val="BodyText"/>
      </w:pPr>
      <w:r>
        <w:rPr>
          <w:i/>
          <w:iCs/>
        </w:rPr>
        <w:t xml:space="preserve">Evolución prevista del número de</w:t>
      </w:r>
      <w:r>
        <w:t xml:space="preserve"> </w:t>
      </w:r>
      <w:r>
        <w:rPr>
          <w:i/>
          <w:iCs/>
        </w:rPr>
        <w:t xml:space="preserve">categorías de tecnologías verdes</w:t>
      </w:r>
      <w:r>
        <w:t xml:space="preserve"> </w:t>
      </w:r>
      <w:r>
        <w:rPr>
          <w:i/>
          <w:iCs/>
        </w:rPr>
        <w:t xml:space="preserve">que el sistema rastrea. Se anticipa un crecimiento de ~100 a ~150 categorías únicas entre 2025 y 2027, con incrementos bruscos en momentos de grandes avances tecnológicos. Esto refleja la rápida diversificación del mercado verde</w:t>
      </w:r>
      <w:hyperlink r:id="rId23">
        <w:r>
          <w:rPr>
            <w:rStyle w:val="Hyperlink"/>
            <w:i/>
            <w:iCs/>
          </w:rPr>
          <w:t xml:space="preserve">[3]</w:t>
        </w:r>
      </w:hyperlink>
      <w:r>
        <w:rPr>
          <w:i/>
          <w:iCs/>
        </w:rPr>
        <w:t xml:space="preserve"> </w:t>
      </w:r>
      <w:r>
        <w:rPr>
          <w:i/>
          <w:iCs/>
        </w:rPr>
        <w:t xml:space="preserve">que AGUNSA deberá monitorear.</w:t>
      </w:r>
    </w:p>
    <w:p>
      <w:pPr>
        <w:pStyle w:val="BodyText"/>
      </w:pPr>
      <w:r>
        <w:rPr>
          <w:b/>
          <w:bCs/>
        </w:rPr>
        <w:t xml:space="preserve">Iniciativas verdes de la competencia:</w:t>
      </w:r>
      <w:r>
        <w:t xml:space="preserve"> </w:t>
      </w:r>
      <w:r>
        <w:t xml:space="preserve">Representa la cantidad de</w:t>
      </w:r>
      <w:r>
        <w:t xml:space="preserve"> </w:t>
      </w:r>
      <w:r>
        <w:rPr>
          <w:b/>
          <w:bCs/>
        </w:rPr>
        <w:t xml:space="preserve">proyectos o iniciativas sostenibles de empresas competidoras</w:t>
      </w:r>
      <w:r>
        <w:t xml:space="preserve"> </w:t>
      </w:r>
      <w:r>
        <w:t xml:space="preserve">que AGUNSA seguirá activamente (programas de descarbonización, inversiones en energías limpias, certificaciones, etc.). Se parte de unas</w:t>
      </w:r>
      <w:r>
        <w:t xml:space="preserve"> </w:t>
      </w:r>
      <w:r>
        <w:rPr>
          <w:i/>
          <w:iCs/>
        </w:rPr>
        <w:t xml:space="preserve">80 iniciativas identificadas</w:t>
      </w:r>
      <w:r>
        <w:t xml:space="preserve"> </w:t>
      </w:r>
      <w:r>
        <w:t xml:space="preserve">en dic-2025 (p. ej., proyectos conocidos de las navieras y operadores logísticos principales en Europa). A partir de 2026, se espera un incremento casi lineal de ~</w:t>
      </w:r>
      <w:r>
        <w:rPr>
          <w:b/>
          <w:bCs/>
        </w:rPr>
        <w:t xml:space="preserve">+6 iniciativas por mes</w:t>
      </w:r>
      <w:r>
        <w:t xml:space="preserve">, alcanzando alrededor de</w:t>
      </w:r>
      <w:r>
        <w:t xml:space="preserve"> </w:t>
      </w:r>
      <w:r>
        <w:rPr>
          <w:b/>
          <w:bCs/>
        </w:rPr>
        <w:t xml:space="preserve">220–230 iniciativas acumuladas a fines de 2027</w:t>
      </w:r>
      <w:r>
        <w:t xml:space="preserve">. Esto equivale a que el catálogo de iniciativas monitoreadas</w:t>
      </w:r>
      <w:r>
        <w:t xml:space="preserve"> </w:t>
      </w:r>
      <w:r>
        <w:rPr>
          <w:i/>
          <w:iCs/>
        </w:rPr>
        <w:t xml:space="preserve">casi se triplique</w:t>
      </w:r>
      <w:r>
        <w:t xml:space="preserve"> </w:t>
      </w:r>
      <w:r>
        <w:t xml:space="preserve">en dos años. La tendencia refleja que cada mes nuevas empresas anuncian programas ASG o se suman a acuerdos climáticos, lo cual coincide con las dinámicas actuales: por ejemplo, el número de empresas que establecen objetivos climáticos científicos</w:t>
      </w:r>
      <w:r>
        <w:t xml:space="preserve"> </w:t>
      </w:r>
      <w:r>
        <w:rPr>
          <w:b/>
          <w:bCs/>
        </w:rPr>
        <w:t xml:space="preserve">casi se duplicó (↑97%) en solo 18 meses</w:t>
      </w:r>
      <w:r>
        <w:t xml:space="preserve"> </w:t>
      </w:r>
      <w:r>
        <w:t xml:space="preserve">hasta 2025</w:t>
      </w:r>
      <w:hyperlink r:id="rId25">
        <w:r>
          <w:rPr>
            <w:rStyle w:val="Hyperlink"/>
          </w:rPr>
          <w:t xml:space="preserve">[5]</w:t>
        </w:r>
      </w:hyperlink>
      <w:r>
        <w:t xml:space="preserve">. Asimismo, casi la mitad de las compañías Fortune 500 (239 empresas) ya participan en al menos una iniciativa climática global</w:t>
      </w:r>
      <w:hyperlink r:id="rId26">
        <w:r>
          <w:rPr>
            <w:rStyle w:val="Hyperlink"/>
          </w:rPr>
          <w:t xml:space="preserve">[6]</w:t>
        </w:r>
      </w:hyperlink>
      <w:r>
        <w:t xml:space="preserve">, y ese número crece cada año. Nuestra proyección anualizada (~80% de crecimiento en 2 años) es conservadora frente a algunas métricas de sostenibilidad corporativa –por ejemplo, el stock de leyes climáticas ha aumentado</w:t>
      </w:r>
      <w:r>
        <w:t xml:space="preserve"> </w:t>
      </w:r>
      <w:r>
        <w:rPr>
          <w:b/>
          <w:bCs/>
        </w:rPr>
        <w:t xml:space="preserve">20 veces desde 1997</w:t>
      </w:r>
      <w:r>
        <w:t xml:space="preserve"> </w:t>
      </w:r>
      <w:r>
        <w:t xml:space="preserve">a nivel mundial</w:t>
      </w:r>
      <w:hyperlink r:id="rId27">
        <w:r>
          <w:rPr>
            <w:rStyle w:val="Hyperlink"/>
          </w:rPr>
          <w:t xml:space="preserve">[7]</w:t>
        </w:r>
      </w:hyperlink>
      <w:r>
        <w:t xml:space="preserve">– pero refleja el contexto del sector logístico europeo de AGUNSA. En la gráfica se observan incrementos relativamente constantes (aprox. 5–6 iniciativas nuevas mensuales), aunque en la realidad podrían ocurrir en</w:t>
      </w:r>
      <w:r>
        <w:t xml:space="preserve"> </w:t>
      </w:r>
      <w:r>
        <w:rPr>
          <w:i/>
          <w:iCs/>
        </w:rPr>
        <w:t xml:space="preserve">oleadas</w:t>
      </w:r>
      <w:r>
        <w:t xml:space="preserve"> </w:t>
      </w:r>
      <w:r>
        <w:t xml:space="preserve">(p. ej., anuncios concentrados previo a cumbres climáticas anuales). Cada nueva iniciativa incorporada supondrá añadir metadatos de seguimiento en el sistema y posiblemente paneles comparativos adicionales, incrementando ligeramente la carga en la base de datos y en el renderizado de dashboards. Aun así, al proyectar unas 224 iniciativas para 2027, estamos bien dentro del límite diseñado (seguir ≥300 iniciativas), asegurando capacidad para cubrir la evolución de las estrategias verdes de competidores clave.</w:t>
      </w:r>
    </w:p>
    <w:p>
      <w:pPr>
        <w:pStyle w:val="BodyText"/>
      </w:pPr>
      <w:r>
        <w:rPr>
          <w:i/>
          <w:iCs/>
        </w:rPr>
        <w:t xml:space="preserve">Proyección del número de</w:t>
      </w:r>
      <w:r>
        <w:t xml:space="preserve"> </w:t>
      </w:r>
      <w:r>
        <w:rPr>
          <w:i/>
          <w:iCs/>
        </w:rPr>
        <w:t xml:space="preserve">iniciativas/proyectos verdes de competidores</w:t>
      </w:r>
      <w:r>
        <w:t xml:space="preserve"> </w:t>
      </w:r>
      <w:r>
        <w:rPr>
          <w:i/>
          <w:iCs/>
        </w:rPr>
        <w:t xml:space="preserve">monitoreados. Se prevé un incremento sostenido de ~80 en 2025 a ~224 en 2027 conforme más empresas implementan objetivos de sostenibilidad (tendencia respaldada por el aumento acelerado de compromisos ASG en el mundo corporativo</w:t>
      </w:r>
      <w:hyperlink r:id="rId25">
        <w:r>
          <w:rPr>
            <w:rStyle w:val="Hyperlink"/>
            <w:i/>
            <w:iCs/>
          </w:rPr>
          <w:t xml:space="preserve">[5]</w:t>
        </w:r>
      </w:hyperlink>
      <w:r>
        <w:rPr>
          <w:i/>
          <w:iCs/>
        </w:rPr>
        <w:t xml:space="preserve">). El sistema de AGUNSA deberá incorporar en promedio ~6 nuevas iniciativas por mes.</w:t>
      </w:r>
    </w:p>
    <w:p>
      <w:pPr>
        <w:pStyle w:val="BodyText"/>
      </w:pPr>
      <w:r>
        <w:rPr>
          <w:b/>
          <w:bCs/>
        </w:rPr>
        <w:t xml:space="preserve">Sesiones de usuario concurrentes:</w:t>
      </w:r>
      <w:r>
        <w:t xml:space="preserve"> </w:t>
      </w:r>
      <w:r>
        <w:t xml:space="preserve">Este indicador corresponde a la</w:t>
      </w:r>
      <w:r>
        <w:t xml:space="preserve"> </w:t>
      </w:r>
      <w:r>
        <w:rPr>
          <w:b/>
          <w:bCs/>
        </w:rPr>
        <w:t xml:space="preserve">cantidad de usuarios simultáneos</w:t>
      </w:r>
      <w:r>
        <w:t xml:space="preserve"> </w:t>
      </w:r>
      <w:r>
        <w:t xml:space="preserve">utilizando la plataforma en los períodos de mayor carga. Iniciando con un</w:t>
      </w:r>
      <w:r>
        <w:t xml:space="preserve"> </w:t>
      </w:r>
      <w:r>
        <w:rPr>
          <w:i/>
          <w:iCs/>
        </w:rPr>
        <w:t xml:space="preserve">pico concurrente de ~40 usuarios</w:t>
      </w:r>
      <w:r>
        <w:t xml:space="preserve"> </w:t>
      </w:r>
      <w:r>
        <w:t xml:space="preserve">en dic-2025 (fase de adopción inicial dentro del clúster Europa), se proyecta un incremento hasta</w:t>
      </w:r>
      <w:r>
        <w:t xml:space="preserve"> </w:t>
      </w:r>
      <w:r>
        <w:rPr>
          <w:b/>
          <w:bCs/>
        </w:rPr>
        <w:t xml:space="preserve">~120 usuarios concurrentes pico</w:t>
      </w:r>
      <w:r>
        <w:t xml:space="preserve"> </w:t>
      </w:r>
      <w:r>
        <w:t xml:space="preserve">hacia fines de 2027, en consonancia con la expansión de la base de usuarios (analistas, gerentes, directores) que explotarán la herramienta. La gráfica muestra una pendiente de crecimiento moderada (~+3–4 usuarios al mes en el pico máximo), lo cual supone que la cantidad de usuarios activos concurrentemente</w:t>
      </w:r>
      <w:r>
        <w:t xml:space="preserve"> </w:t>
      </w:r>
      <w:r>
        <w:rPr>
          <w:b/>
          <w:bCs/>
        </w:rPr>
        <w:t xml:space="preserve">se triplicará en dos años</w:t>
      </w:r>
      <w:r>
        <w:t xml:space="preserve">. Este crecimiento acompaña el despliegue progresivo de la plataforma en la organización y posiblemente su adopción por filiales cercanas. Adicionalmente, se anticipa una</w:t>
      </w:r>
      <w:r>
        <w:t xml:space="preserve"> </w:t>
      </w:r>
      <w:r>
        <w:rPr>
          <w:b/>
          <w:bCs/>
        </w:rPr>
        <w:t xml:space="preserve">estacionalidad diaria y mensual</w:t>
      </w:r>
      <w:r>
        <w:t xml:space="preserve"> </w:t>
      </w:r>
      <w:r>
        <w:t xml:space="preserve">marcada en el uso: aunque en la proyección mensual solo reflejamos el valor pico, internamente el sistema enfrentará</w:t>
      </w:r>
      <w:r>
        <w:t xml:space="preserve"> </w:t>
      </w:r>
      <w:r>
        <w:rPr>
          <w:i/>
          <w:iCs/>
        </w:rPr>
        <w:t xml:space="preserve">patrones diarios con horas punta</w:t>
      </w:r>
      <w:r>
        <w:t xml:space="preserve"> </w:t>
      </w:r>
      <w:r>
        <w:t xml:space="preserve">(jornadas laborales europeas) y</w:t>
      </w:r>
      <w:r>
        <w:t xml:space="preserve"> </w:t>
      </w:r>
      <w:r>
        <w:rPr>
          <w:i/>
          <w:iCs/>
        </w:rPr>
        <w:t xml:space="preserve">descensos nocturnos y en fines de semana</w:t>
      </w:r>
      <w:r>
        <w:t xml:space="preserve"> </w:t>
      </w:r>
      <w:r>
        <w:t xml:space="preserve">(cuando casi no habrá usuarios conectados). De hecho, durante los días hábiles se esperan picos hacia el mediodía (Eurozona) y prácticamente cero usuarios durante la madrugada local. También podrían registrarse</w:t>
      </w:r>
      <w:r>
        <w:t xml:space="preserve"> </w:t>
      </w:r>
      <w:r>
        <w:rPr>
          <w:b/>
          <w:bCs/>
        </w:rPr>
        <w:t xml:space="preserve">picos mensuales</w:t>
      </w:r>
      <w:r>
        <w:t xml:space="preserve"> </w:t>
      </w:r>
      <w:r>
        <w:t xml:space="preserve">mayores en épocas de cierre de reportes o reuniones (p. ej., fin de trimestre), donde el número concurrente podría acercarse al máximo previsto. Para ilustrar esta variabilidad, nuestro modelo diario sugiere que un día normal de semana podría tener ~100 usuarios simultáneos en horas pico vs &lt;10 en la noche, mientras que en un fin de semana tal vez apenas ~5 usuarios en todo momento. Si bien no se dispone de datos históricos propios aún, estos patrones de uso son típicos en herramientas de inteligencia empresarial. Lo importante es que el sistema esté dimensionado para absorber el</w:t>
      </w:r>
      <w:r>
        <w:t xml:space="preserve"> </w:t>
      </w:r>
      <w:r>
        <w:rPr>
          <w:i/>
          <w:iCs/>
        </w:rPr>
        <w:t xml:space="preserve">pico máximo de ~120 concurrentes en 2027</w:t>
      </w:r>
      <w:r>
        <w:t xml:space="preserve"> </w:t>
      </w:r>
      <w:r>
        <w:t xml:space="preserve">(muy por debajo del tope de 200 concurrentes soportado según diseño), manteniendo tiempos de respuesta &lt;5 segundos por consulta incluso en esos momentos críticos. La tendencia ascendente demuestra el éxito esperado de la plataforma: más personal de AGUNSA involucrado activamente en el monitoreo sostenible.</w:t>
      </w:r>
    </w:p>
    <w:p>
      <w:pPr>
        <w:pStyle w:val="BodyText"/>
      </w:pPr>
      <w:r>
        <w:rPr>
          <w:i/>
          <w:iCs/>
        </w:rPr>
        <w:t xml:space="preserve">Crecimiento proyectado del</w:t>
      </w:r>
      <w:r>
        <w:t xml:space="preserve"> </w:t>
      </w:r>
      <w:r>
        <w:rPr>
          <w:i/>
          <w:iCs/>
        </w:rPr>
        <w:t xml:space="preserve">máximo de sesiones de usuario concurrentes</w:t>
      </w:r>
      <w:r>
        <w:t xml:space="preserve"> </w:t>
      </w:r>
      <w:r>
        <w:rPr>
          <w:i/>
          <w:iCs/>
        </w:rPr>
        <w:t xml:space="preserve">(pico diario) utilizando la plataforma. Se espera pasar de ~40 usuarios simultáneos en 2025 a ~120 en 2027 a medida que más colaboradores y directivos adopten la herramienta en sus rutinas. Los valores representan picos mensuales; en la operación real habrá variaciones diarias significativas (altas durante horario de oficina, bajas nocturnas).</w:t>
      </w:r>
    </w:p>
    <w:bookmarkEnd w:id="28"/>
    <w:bookmarkStart w:id="29" w:name="comparación-del-crecimiento-de-las-upn"/>
    <w:p>
      <w:pPr>
        <w:pStyle w:val="Heading2"/>
      </w:pPr>
      <w:r>
        <w:t xml:space="preserve">Comparación del Crecimiento de las UPN</w:t>
      </w:r>
    </w:p>
    <w:p>
      <w:pPr>
        <w:pStyle w:val="FirstParagraph"/>
      </w:pPr>
      <w:r>
        <w:t xml:space="preserve">Es esclarecedor examinar conjuntamente estas proyecciones, pues evidencian</w:t>
      </w:r>
      <w:r>
        <w:t xml:space="preserve"> </w:t>
      </w:r>
      <w:r>
        <w:rPr>
          <w:b/>
          <w:bCs/>
        </w:rPr>
        <w:t xml:space="preserve">sinergias e interdependencias</w:t>
      </w:r>
      <w:r>
        <w:t xml:space="preserve"> </w:t>
      </w:r>
      <w:r>
        <w:t xml:space="preserve">entre las UPN. En la siguiente gráfica comparativa se han superpuesto las cinco métricas anteriores. Puede apreciarse que el</w:t>
      </w:r>
      <w:r>
        <w:t xml:space="preserve"> </w:t>
      </w:r>
      <w:r>
        <w:rPr>
          <w:b/>
          <w:bCs/>
        </w:rPr>
        <w:t xml:space="preserve">volumen de documentos</w:t>
      </w:r>
      <w:r>
        <w:t xml:space="preserve"> </w:t>
      </w:r>
      <w:r>
        <w:t xml:space="preserve">(línea verde punteada, escala de la derecha en miles) crece en paralelo al número de</w:t>
      </w:r>
      <w:r>
        <w:t xml:space="preserve"> </w:t>
      </w:r>
      <w:r>
        <w:rPr>
          <w:b/>
          <w:bCs/>
        </w:rPr>
        <w:t xml:space="preserve">fuentes</w:t>
      </w:r>
      <w:r>
        <w:t xml:space="preserve"> </w:t>
      </w:r>
      <w:r>
        <w:t xml:space="preserve">(línea dorada) – ambas prácticamente</w:t>
      </w:r>
      <w:r>
        <w:t xml:space="preserve"> </w:t>
      </w:r>
      <w:r>
        <w:rPr>
          <w:i/>
          <w:iCs/>
        </w:rPr>
        <w:t xml:space="preserve">se duplican</w:t>
      </w:r>
      <w:r>
        <w:t xml:space="preserve"> </w:t>
      </w:r>
      <w:r>
        <w:t xml:space="preserve">en el periodo considerado. Esto es lógico: a más fuentes monitorizadas, mayor flujo informativo a recopilar. Por ejemplo, el gran salto en documentos a inicios de 2026 coincide con la incorporación de decenas de fuentes nuevas ese trimestre. Del mismo modo, las tendencias de</w:t>
      </w:r>
      <w:r>
        <w:t xml:space="preserve"> </w:t>
      </w:r>
      <w:r>
        <w:rPr>
          <w:b/>
          <w:bCs/>
        </w:rPr>
        <w:t xml:space="preserve">categorías tecnológicas</w:t>
      </w:r>
      <w:r>
        <w:t xml:space="preserve"> </w:t>
      </w:r>
      <w:r>
        <w:t xml:space="preserve">(línea roja) e</w:t>
      </w:r>
      <w:r>
        <w:t xml:space="preserve"> </w:t>
      </w:r>
      <w:r>
        <w:rPr>
          <w:b/>
          <w:bCs/>
        </w:rPr>
        <w:t xml:space="preserve">iniciativas de competidores</w:t>
      </w:r>
      <w:r>
        <w:t xml:space="preserve"> </w:t>
      </w:r>
      <w:r>
        <w:t xml:space="preserve">(línea rosada) muestran incrementos sostenidos pero más suaves en magnitud absoluta. No obstante, en términos porcentuales también su crecimiento acumulado es significativo (50% y 180% respectivamente en 2 años). La cantidad de</w:t>
      </w:r>
      <w:r>
        <w:t xml:space="preserve"> </w:t>
      </w:r>
      <w:r>
        <w:rPr>
          <w:b/>
          <w:bCs/>
        </w:rPr>
        <w:t xml:space="preserve">usuarios concurrentes</w:t>
      </w:r>
      <w:r>
        <w:t xml:space="preserve"> </w:t>
      </w:r>
      <w:r>
        <w:t xml:space="preserve">(línea azul) sigue una curva ascendente similar, aunque menor en escala, reflejando que la carga de uso aumentará acompasada pero no tan drásticamente como la carga de datos.</w:t>
      </w:r>
    </w:p>
    <w:p>
      <w:pPr>
        <w:pStyle w:val="BodyText"/>
      </w:pPr>
      <w:r>
        <w:t xml:space="preserve">Es importante destacar cómo</w:t>
      </w:r>
      <w:r>
        <w:t xml:space="preserve"> </w:t>
      </w:r>
      <w:r>
        <w:rPr>
          <w:b/>
          <w:bCs/>
        </w:rPr>
        <w:t xml:space="preserve">todas las UPN tienden al alza</w:t>
      </w:r>
      <w:r>
        <w:t xml:space="preserve">, impulsadas por la transformación sostenible del sector. La expansión de fuentes e información es exponencial en la economía digital – como señala un estudio,</w:t>
      </w:r>
      <w:r>
        <w:t xml:space="preserve"> </w:t>
      </w:r>
      <w:r>
        <w:rPr>
          <w:i/>
          <w:iCs/>
        </w:rPr>
        <w:t xml:space="preserve">las empresas enfrentan una “polución informativa” cada vez mayor, con miles de publicaciones diarias difíciles de asimilar manualmente</w:t>
      </w:r>
      <w:hyperlink r:id="rId22">
        <w:r>
          <w:rPr>
            <w:rStyle w:val="Hyperlink"/>
          </w:rPr>
          <w:t xml:space="preserve">[2]</w:t>
        </w:r>
      </w:hyperlink>
      <w:hyperlink r:id="rId21">
        <w:r>
          <w:rPr>
            <w:rStyle w:val="Hyperlink"/>
          </w:rPr>
          <w:t xml:space="preserve">[1]</w:t>
        </w:r>
      </w:hyperlink>
      <w:r>
        <w:t xml:space="preserve">. AGUNSA no es ajena a esta realidad: deberá absorber una cantidad de datos ambientales y de mercado creciente, filtrar señales relevantes y presentarlas de forma útil a un número cada vez mayor de usuarios internos. Afortunadamente, nuestras proyecciones indican que el sistema diseñado podrá escalar para manejar estas demandas dentro de los parámetros fijados. Por ejemplo, al final de 2027 se monitorearán ~600 fuentes (de al menos 500 requeridas)</w:t>
      </w:r>
      <w:hyperlink r:id="rId21">
        <w:r>
          <w:rPr>
            <w:rStyle w:val="Hyperlink"/>
          </w:rPr>
          <w:t xml:space="preserve">[1]</w:t>
        </w:r>
      </w:hyperlink>
      <w:r>
        <w:t xml:space="preserve">, se habrán almacenado más de 50.000 registros útiles (muy por encima del mínimo exigido) y se dará seguimiento a ~224 iniciativas (aún por debajo del tope de 300 configurado, dejando margen para crecimiento futuro). En síntesis, las necesidades de información de AGUNSA Europa</w:t>
      </w:r>
      <w:r>
        <w:t xml:space="preserve"> </w:t>
      </w:r>
      <w:r>
        <w:rPr>
          <w:b/>
          <w:bCs/>
        </w:rPr>
        <w:t xml:space="preserve">crecerán rápidamente</w:t>
      </w:r>
      <w:r>
        <w:t xml:space="preserve"> </w:t>
      </w:r>
      <w:r>
        <w:t xml:space="preserve">en volumen y complejidad, pero de manera coherente entre sí: más fuentes y tecnologías emergentes generan más datos que rastrear, lo que a su vez demanda más análisis concurrente por parte de los usuarios. Este panorama refuerza la importancia de dotar a la plataforma de capacidades de</w:t>
      </w:r>
      <w:r>
        <w:t xml:space="preserve"> </w:t>
      </w:r>
      <w:r>
        <w:rPr>
          <w:i/>
          <w:iCs/>
        </w:rPr>
        <w:t xml:space="preserve">automatización, actualización continua y alertas inteligentes</w:t>
      </w:r>
      <w:r>
        <w:t xml:space="preserve">, para que pueda escalar sin sacrificar rendimiento cuando en 2027 esté procesando diariamente volúmenes muy superiores a los actuales.</w:t>
      </w:r>
    </w:p>
    <w:p>
      <w:pPr>
        <w:pStyle w:val="BodyText"/>
      </w:pPr>
      <w:r>
        <w:rPr>
          <w:i/>
          <w:iCs/>
        </w:rPr>
        <w:t xml:space="preserve">Comparativa del crecimiento de todas las UPN de AGUNSA Europa, 2025–2027. Se observan trayectorias ascendentes en todos los frentes: las</w:t>
      </w:r>
      <w:r>
        <w:t xml:space="preserve"> </w:t>
      </w:r>
      <w:r>
        <w:rPr>
          <w:i/>
          <w:iCs/>
        </w:rPr>
        <w:t xml:space="preserve">fuentes</w:t>
      </w:r>
      <w:r>
        <w:t xml:space="preserve"> </w:t>
      </w:r>
      <w:r>
        <w:rPr>
          <w:i/>
          <w:iCs/>
        </w:rPr>
        <w:t xml:space="preserve">(dorado, eje izq.) y los</w:t>
      </w:r>
      <w:r>
        <w:t xml:space="preserve"> </w:t>
      </w:r>
      <w:r>
        <w:rPr>
          <w:i/>
          <w:iCs/>
        </w:rPr>
        <w:t xml:space="preserve">documentos mensuales</w:t>
      </w:r>
      <w:r>
        <w:t xml:space="preserve"> </w:t>
      </w:r>
      <w:r>
        <w:rPr>
          <w:i/>
          <w:iCs/>
        </w:rPr>
        <w:t xml:space="preserve">(verde punteado, eje der.) prácticamente se duplican; las</w:t>
      </w:r>
      <w:r>
        <w:t xml:space="preserve"> </w:t>
      </w:r>
      <w:r>
        <w:rPr>
          <w:i/>
          <w:iCs/>
        </w:rPr>
        <w:t xml:space="preserve">iniciativas de competidores</w:t>
      </w:r>
      <w:r>
        <w:t xml:space="preserve"> </w:t>
      </w:r>
      <w:r>
        <w:rPr>
          <w:i/>
          <w:iCs/>
        </w:rPr>
        <w:t xml:space="preserve">(rosado) y</w:t>
      </w:r>
      <w:r>
        <w:t xml:space="preserve"> </w:t>
      </w:r>
      <w:r>
        <w:rPr>
          <w:i/>
          <w:iCs/>
        </w:rPr>
        <w:t xml:space="preserve">tecnologías clasificadas</w:t>
      </w:r>
      <w:r>
        <w:t xml:space="preserve"> </w:t>
      </w:r>
      <w:r>
        <w:rPr>
          <w:i/>
          <w:iCs/>
        </w:rPr>
        <w:t xml:space="preserve">(rojo) también aumentan notablemente, mientras que las</w:t>
      </w:r>
      <w:r>
        <w:t xml:space="preserve"> </w:t>
      </w:r>
      <w:r>
        <w:rPr>
          <w:i/>
          <w:iCs/>
        </w:rPr>
        <w:t xml:space="preserve">sesiones concurrentes</w:t>
      </w:r>
      <w:r>
        <w:t xml:space="preserve"> </w:t>
      </w:r>
      <w:r>
        <w:rPr>
          <w:i/>
          <w:iCs/>
        </w:rPr>
        <w:t xml:space="preserve">(azul) suben de forma constante acompañando la mayor adopción interna. Esta convergencia refleja la aceleración general de la información sostenible a nivel empresarial</w:t>
      </w:r>
      <w:hyperlink r:id="rId22">
        <w:r>
          <w:rPr>
            <w:rStyle w:val="Hyperlink"/>
            <w:i/>
            <w:iCs/>
          </w:rPr>
          <w:t xml:space="preserve">[2]</w:t>
        </w:r>
      </w:hyperlink>
      <w:r>
        <w:rPr>
          <w:i/>
          <w:iCs/>
        </w:rPr>
        <w:t xml:space="preserve">.</w:t>
      </w:r>
    </w:p>
    <w:bookmarkEnd w:id="29"/>
    <w:bookmarkStart w:id="32" w:name="proyección-de-uso-de-recursos-de-ti"/>
    <w:p>
      <w:pPr>
        <w:pStyle w:val="Heading2"/>
      </w:pPr>
      <w:r>
        <w:t xml:space="preserve">Proyección de Uso de Recursos de TI</w:t>
      </w:r>
    </w:p>
    <w:p>
      <w:pPr>
        <w:pStyle w:val="FirstParagraph"/>
      </w:pPr>
      <w:r>
        <w:t xml:space="preserve">El crecimiento de las UPN irá de la mano con un aumento en el</w:t>
      </w:r>
      <w:r>
        <w:t xml:space="preserve"> </w:t>
      </w:r>
      <w:r>
        <w:rPr>
          <w:b/>
          <w:bCs/>
        </w:rPr>
        <w:t xml:space="preserve">consumo de recursos de hardware y software</w:t>
      </w:r>
      <w:r>
        <w:t xml:space="preserve"> </w:t>
      </w:r>
      <w:r>
        <w:t xml:space="preserve">del sistema. A continuación evaluamos las implicaciones en términos de CPU, memoria, almacenamiento y red, con base en los parámetros cuantitativos definidos para la plataforma y las tendencias de carga calculadas:</w:t>
      </w:r>
    </w:p>
    <w:p>
      <w:pPr>
        <w:pStyle w:val="Compact"/>
        <w:numPr>
          <w:ilvl w:val="0"/>
          <w:numId w:val="1001"/>
        </w:numPr>
      </w:pPr>
      <w:r>
        <w:rPr>
          <w:b/>
          <w:bCs/>
        </w:rPr>
        <w:t xml:space="preserve">Uso de CPU:</w:t>
      </w:r>
      <w:r>
        <w:t xml:space="preserve"> </w:t>
      </w:r>
      <w:r>
        <w:t xml:space="preserve">Se proyecta que la utilización de CPU del servidor (o clúster) de la plataforma escale desde ~</w:t>
      </w:r>
      <w:r>
        <w:rPr>
          <w:b/>
          <w:bCs/>
        </w:rPr>
        <w:t xml:space="preserve">10%</w:t>
      </w:r>
      <w:r>
        <w:t xml:space="preserve"> </w:t>
      </w:r>
      <w:r>
        <w:t xml:space="preserve">en dic-2025 (carga inicial baja) hasta alrededor de</w:t>
      </w:r>
      <w:r>
        <w:t xml:space="preserve"> </w:t>
      </w:r>
      <w:r>
        <w:rPr>
          <w:b/>
          <w:bCs/>
        </w:rPr>
        <w:t xml:space="preserve">70%</w:t>
      </w:r>
      <w:r>
        <w:t xml:space="preserve"> </w:t>
      </w:r>
      <w:r>
        <w:t xml:space="preserve">de uso en dic-2027. Este crecimiento no es estrictamente lineal sino</w:t>
      </w:r>
      <w:r>
        <w:t xml:space="preserve"> </w:t>
      </w:r>
      <w:r>
        <w:rPr>
          <w:i/>
          <w:iCs/>
        </w:rPr>
        <w:t xml:space="preserve">acelerado</w:t>
      </w:r>
      <w:r>
        <w:t xml:space="preserve">: a medida que aumentan las fuentes y documentos por hora, el motor de análisis semántico y de índices trabajará proporcionalmente más. Adicionalmente, la creciente complejidad de consultas (por la acumulación de datos históricos) puede</w:t>
      </w:r>
      <w:r>
        <w:t xml:space="preserve"> </w:t>
      </w:r>
      <w:r>
        <w:rPr>
          <w:i/>
          <w:iCs/>
        </w:rPr>
        <w:t xml:space="preserve">penalizar ligeramente el rendimiento</w:t>
      </w:r>
      <w:r>
        <w:t xml:space="preserve">, contribuyendo a un mayor consumo de CPU por consulta en 2027 que en 2025. La curva estimada (ver gráfica) refleja esta aceleración: por ejemplo, al duplicarse aproximadamente el volumen horario de datos procesados de 2025 a 2027, la carga de CPU sube más del triple (de 10% a ~70%). No obstante, mantenernos por debajo del 80% deja un margen de seguridad para picos imprevistos y asegura que el sistema responda con agilidad. Cabe recordar que el diseño contempla procesamiento distribuido; de ser necesario, podría escalarse horizontalmente añadiendo núcleos para repartir la carga. En definitiva, aun con</w:t>
      </w:r>
      <w:r>
        <w:t xml:space="preserve"> </w:t>
      </w:r>
      <w:r>
        <w:rPr>
          <w:b/>
          <w:bCs/>
        </w:rPr>
        <w:t xml:space="preserve">5.000 ítems/hora de capacidad máxima</w:t>
      </w:r>
      <w:r>
        <w:t xml:space="preserve"> </w:t>
      </w:r>
      <w:r>
        <w:t xml:space="preserve">dimensionada, estaremos usando una fracción (70%) al cierre de 2027, lo cual confirma la viabilidad de sostener &lt;5 s de tiempo de respuesta por consulta bajo las cargas proyectadas.</w:t>
      </w:r>
    </w:p>
    <w:p>
      <w:pPr>
        <w:pStyle w:val="FirstParagraph"/>
      </w:pPr>
      <w:r>
        <w:rPr>
          <w:i/>
          <w:iCs/>
        </w:rPr>
        <w:t xml:space="preserve">Porcentaje de</w:t>
      </w:r>
      <w:r>
        <w:t xml:space="preserve"> </w:t>
      </w:r>
      <w:r>
        <w:rPr>
          <w:i/>
          <w:iCs/>
        </w:rPr>
        <w:t xml:space="preserve">uso de CPU</w:t>
      </w:r>
      <w:r>
        <w:t xml:space="preserve"> </w:t>
      </w:r>
      <w:r>
        <w:rPr>
          <w:i/>
          <w:iCs/>
        </w:rPr>
        <w:t xml:space="preserve">estimado del servidor a lo largo del tiempo. Se eleva desde ~10% a ~70% en dos años debido al incremento de tareas de scraping, indexación y análisis en tiempo real. Este nivel sigue siendo seguro (por debajo de umbral de saturación), permitiendo absorber picos y garantizar tiempos de respuesta adecuados.</w:t>
      </w:r>
    </w:p>
    <w:p>
      <w:pPr>
        <w:pStyle w:val="Compact"/>
        <w:numPr>
          <w:ilvl w:val="0"/>
          <w:numId w:val="1002"/>
        </w:numPr>
      </w:pPr>
      <w:r>
        <w:rPr>
          <w:b/>
          <w:bCs/>
        </w:rPr>
        <w:t xml:space="preserve">Uso de Memoria:</w:t>
      </w:r>
      <w:r>
        <w:t xml:space="preserve"> </w:t>
      </w:r>
      <w:r>
        <w:t xml:space="preserve">La memoria RAM consumida por la plataforma crecerá de forma proporcional al volumen de datos indexados y al número de usuarios activos. Partiendo de ~</w:t>
      </w:r>
      <w:r>
        <w:rPr>
          <w:b/>
          <w:bCs/>
        </w:rPr>
        <w:t xml:space="preserve">16 GB</w:t>
      </w:r>
      <w:r>
        <w:t xml:space="preserve"> </w:t>
      </w:r>
      <w:r>
        <w:t xml:space="preserve">utilizados en 2025 (considerando cargas base del sistema, caches iniciales, etc.), se prevé llegar a unos</w:t>
      </w:r>
      <w:r>
        <w:t xml:space="preserve"> </w:t>
      </w:r>
      <w:r>
        <w:rPr>
          <w:b/>
          <w:bCs/>
        </w:rPr>
        <w:t xml:space="preserve">~30 GB</w:t>
      </w:r>
      <w:r>
        <w:t xml:space="preserve"> </w:t>
      </w:r>
      <w:r>
        <w:t xml:space="preserve">en uso para fines de 2027. Este incremento proviene principalmente de: (1) índices de búsqueda más grandes en memoria (por los cientos de miles de documentos acumulados), (2) más objetos en caché –como representaciones vectoriales de documentos y ontologías de tecnologías– y (3) más sesiones de usuario simultáneas manteniendo datos en memoria (p. ej., resultados filtrados, dashboards precargados). La gráfica muestra un aumento casi lineal, asumiendo que se implementan optimizaciones de memoria a la par del crecimiento de datos (por ejemplo, liberación de caches menos relevantes, almacenamiento en disco de datos fríos, etc.). Aun alcanzando ~30 GB, el sistema permanecería dentro del límite inicial (por ejemplo, un servidor con 64 GB RAM estaría al ~47% de uso). Es destacable que para 2027 el sistema gestionará unas 150 categorías tecnológicas activas en memoria para clasificación en tiempo real, frente a 100 al inicio – junto con miles de vectores de embedding – pero gracias a técnicas de</w:t>
      </w:r>
      <w:r>
        <w:t xml:space="preserve"> </w:t>
      </w:r>
      <w:r>
        <w:rPr>
          <w:b/>
          <w:bCs/>
        </w:rPr>
        <w:t xml:space="preserve">deduplicación y compactación semántica</w:t>
      </w:r>
      <w:r>
        <w:t xml:space="preserve"> </w:t>
      </w:r>
      <w:r>
        <w:t xml:space="preserve">se mantendrá la memoria bajo control. En resumen, la</w:t>
      </w:r>
      <w:r>
        <w:t xml:space="preserve"> </w:t>
      </w:r>
      <w:r>
        <w:rPr>
          <w:b/>
          <w:bCs/>
        </w:rPr>
        <w:t xml:space="preserve">demanda de RAM prácticamente se duplicará</w:t>
      </w:r>
      <w:r>
        <w:t xml:space="preserve"> </w:t>
      </w:r>
      <w:r>
        <w:t xml:space="preserve">en dos años, pero sin superar la capacidad prevista; además, se cuenta con la posibilidad de ampliar módulos de memoria en el clúster si fuera preciso sostener más crecimiento post-2027.</w:t>
      </w:r>
    </w:p>
    <w:p>
      <w:pPr>
        <w:pStyle w:val="FirstParagraph"/>
      </w:pPr>
      <w:r>
        <w:rPr>
          <w:i/>
          <w:iCs/>
        </w:rPr>
        <w:t xml:space="preserve">Memoria</w:t>
      </w:r>
      <w:r>
        <w:t xml:space="preserve"> </w:t>
      </w:r>
      <w:r>
        <w:rPr>
          <w:i/>
          <w:iCs/>
        </w:rPr>
        <w:t xml:space="preserve">RAM</w:t>
      </w:r>
      <w:r>
        <w:t xml:space="preserve"> </w:t>
      </w:r>
      <w:r>
        <w:rPr>
          <w:i/>
          <w:iCs/>
        </w:rPr>
        <w:t xml:space="preserve">utilizada por la plataforma, estimada en GB. Crece de ~16 GB a ~30 GB entre 2025 y 2027 a medida que aumentan los datos en caché, los índices en memoria y las sesiones concurrentes. La tendencia es lineal y dentro de límites manejables, dado que el sistema libera o mueve a disco información no crítica para no agotar la RAM.</w:t>
      </w:r>
    </w:p>
    <w:p>
      <w:pPr>
        <w:pStyle w:val="Compact"/>
        <w:numPr>
          <w:ilvl w:val="0"/>
          <w:numId w:val="1003"/>
        </w:numPr>
      </w:pPr>
      <w:r>
        <w:rPr>
          <w:b/>
          <w:bCs/>
        </w:rPr>
        <w:t xml:space="preserve">Almacenamiento de datos:</w:t>
      </w:r>
      <w:r>
        <w:t xml:space="preserve"> </w:t>
      </w:r>
      <w:r>
        <w:t xml:space="preserve">Dado el ingente volumen de documentos recolectados, el almacenamiento en disco (o sistema distribuido equivalente) crecerá sustancialmente. Suponiendo un tamaño medio de ~0,5 MB por documento (incluyendo texto, metadatos y embeddings), la colección acumulada pasaría de unos insignificantes</w:t>
      </w:r>
      <w:r>
        <w:t xml:space="preserve"> </w:t>
      </w:r>
      <w:r>
        <w:rPr>
          <w:i/>
          <w:iCs/>
        </w:rPr>
        <w:t xml:space="preserve">5 GB iniciales</w:t>
      </w:r>
      <w:r>
        <w:t xml:space="preserve"> </w:t>
      </w:r>
      <w:r>
        <w:t xml:space="preserve">(base del sistema en 2025) a</w:t>
      </w:r>
      <w:r>
        <w:t xml:space="preserve"> </w:t>
      </w:r>
      <w:r>
        <w:rPr>
          <w:b/>
          <w:bCs/>
        </w:rPr>
        <w:t xml:space="preserve">~356 GB en 2027</w:t>
      </w:r>
      <w:r>
        <w:t xml:space="preserve">. En la gráfica se observa una curva ascendente pronunciada: el sistema almacenará ~14 GB al cerrar 2025 (ya incorporando los ~18k docs de diciembre), ~32 GB al fin de feb-2026, ~100 GB para inicios de 2027 y así hasta ~356 GB en dic-2027. Esta proyección implica tener en ese punto del orden de</w:t>
      </w:r>
      <w:r>
        <w:t xml:space="preserve"> </w:t>
      </w:r>
      <w:r>
        <w:rPr>
          <w:i/>
          <w:iCs/>
        </w:rPr>
        <w:t xml:space="preserve">0,75 millones de documentos</w:t>
      </w:r>
      <w:r>
        <w:t xml:space="preserve"> </w:t>
      </w:r>
      <w:r>
        <w:t xml:space="preserve">indexados históricamente. Es importante destacar que ya para mediados de 2026 se habría superado con creces el mínimo de</w:t>
      </w:r>
      <w:r>
        <w:t xml:space="preserve"> </w:t>
      </w:r>
      <w:r>
        <w:rPr>
          <w:b/>
          <w:bCs/>
        </w:rPr>
        <w:t xml:space="preserve">50.000 registros históricos</w:t>
      </w:r>
      <w:r>
        <w:t xml:space="preserve"> </w:t>
      </w:r>
      <w:r>
        <w:t xml:space="preserve">que se fijó como requisito, lo que</w:t>
      </w:r>
      <w:r>
        <w:t xml:space="preserve"> </w:t>
      </w:r>
      <w:r>
        <w:rPr>
          <w:b/>
          <w:bCs/>
        </w:rPr>
        <w:t xml:space="preserve">garantiza amplia trazabilidad de tendencias</w:t>
      </w:r>
      <w:r>
        <w:t xml:space="preserve"> </w:t>
      </w:r>
      <w:r>
        <w:t xml:space="preserve">en el repositorio</w:t>
      </w:r>
      <w:hyperlink r:id="rId30">
        <w:r>
          <w:rPr>
            <w:rStyle w:val="Hyperlink"/>
          </w:rPr>
          <w:t xml:space="preserve">[8]</w:t>
        </w:r>
      </w:hyperlink>
      <w:hyperlink r:id="rId31">
        <w:r>
          <w:rPr>
            <w:rStyle w:val="Hyperlink"/>
          </w:rPr>
          <w:t xml:space="preserve">[9]</w:t>
        </w:r>
      </w:hyperlink>
      <w:r>
        <w:t xml:space="preserve">. Sin embargo, manejar cientos de gigabytes de datos requerirá una estrategia robusta de almacenamiento: probablemente una combinación de bases de datos documentales y almacenamiento de objetos para archivos grandes (p. ej., PDFs), con</w:t>
      </w:r>
      <w:r>
        <w:t xml:space="preserve"> </w:t>
      </w:r>
      <w:r>
        <w:rPr>
          <w:i/>
          <w:iCs/>
        </w:rPr>
        <w:t xml:space="preserve">replicación y backup</w:t>
      </w:r>
      <w:r>
        <w:t xml:space="preserve"> </w:t>
      </w:r>
      <w:r>
        <w:t xml:space="preserve">para asegurar el</w:t>
      </w:r>
      <w:r>
        <w:t xml:space="preserve"> </w:t>
      </w:r>
      <w:r>
        <w:rPr>
          <w:b/>
          <w:bCs/>
        </w:rPr>
        <w:t xml:space="preserve">99,9% de disponibilidad</w:t>
      </w:r>
      <w:r>
        <w:t xml:space="preserve"> </w:t>
      </w:r>
      <w:r>
        <w:t xml:space="preserve">anual. Por fortuna, el costo de almacenamiento es relativamente bajo y escalable; 356 GB ocupan una fracción ínfima del petabyte típico de capacidad en clústeres modernos. Se podría considerar implementar políticas de</w:t>
      </w:r>
      <w:r>
        <w:t xml:space="preserve"> </w:t>
      </w:r>
      <w:r>
        <w:rPr>
          <w:i/>
          <w:iCs/>
        </w:rPr>
        <w:t xml:space="preserve">archivado</w:t>
      </w:r>
      <w:r>
        <w:t xml:space="preserve"> </w:t>
      </w:r>
      <w:r>
        <w:t xml:space="preserve">para datos muy antiguos o duplicados, pero dado que la información histórica alimenta análisis de tendencias ASG, nuestra recomendación es conservarla íntegramente. En resumen, el almacenamiento crecerá ~</w:t>
      </w:r>
      <w:r>
        <w:rPr>
          <w:b/>
          <w:bCs/>
        </w:rPr>
        <w:t xml:space="preserve">0,35 TB</w:t>
      </w:r>
      <w:r>
        <w:t xml:space="preserve"> </w:t>
      </w:r>
      <w:r>
        <w:t xml:space="preserve">en dos años – ritmo elevado pero sostenible – y el sistema deberá estar preparado con discos de estado sólido de suficiente IOPS para responder consultas complejas en un volumen de datos 20 veces mayor que el inicial.</w:t>
      </w:r>
    </w:p>
    <w:p>
      <w:pPr>
        <w:pStyle w:val="FirstParagraph"/>
      </w:pPr>
      <w:r>
        <w:rPr>
          <w:i/>
          <w:iCs/>
        </w:rPr>
        <w:t xml:space="preserve">Crecimiento proyectado del volumen de</w:t>
      </w:r>
      <w:r>
        <w:t xml:space="preserve"> </w:t>
      </w:r>
      <w:r>
        <w:rPr>
          <w:i/>
          <w:iCs/>
        </w:rPr>
        <w:t xml:space="preserve">datos almacenados</w:t>
      </w:r>
      <w:r>
        <w:t xml:space="preserve"> </w:t>
      </w:r>
      <w:r>
        <w:rPr>
          <w:i/>
          <w:iCs/>
        </w:rPr>
        <w:t xml:space="preserve">en el repositorio (GB acumulados). Alcanzará unos ~356 GB a fines de 2027, desde apenas ~14 GB a fines de 2025. Este almacenamiento incluye texto completo, metadatos y vectores de todos los documentos recolectados. La capacidad planificada (varios cientos de GB, escalable a TB) es suficiente para manejar este incremento, preservando series históricas valiosas más allá del mínimo requerido de 50k registros.</w:t>
      </w:r>
    </w:p>
    <w:p>
      <w:pPr>
        <w:pStyle w:val="Compact"/>
        <w:numPr>
          <w:ilvl w:val="0"/>
          <w:numId w:val="1004"/>
        </w:numPr>
      </w:pPr>
      <w:r>
        <w:rPr>
          <w:b/>
          <w:bCs/>
        </w:rPr>
        <w:t xml:space="preserve">Uso de red:</w:t>
      </w:r>
      <w:r>
        <w:t xml:space="preserve"> </w:t>
      </w:r>
      <w:r>
        <w:t xml:space="preserve">El consumo de</w:t>
      </w:r>
      <w:r>
        <w:t xml:space="preserve"> </w:t>
      </w:r>
      <w:r>
        <w:rPr>
          <w:b/>
          <w:bCs/>
        </w:rPr>
        <w:t xml:space="preserve">ancho de banda</w:t>
      </w:r>
      <w:r>
        <w:t xml:space="preserve"> </w:t>
      </w:r>
      <w:r>
        <w:t xml:space="preserve">para ingestión de datos aumentará acorde al número de fuentes y la frecuencia de actualización. Inicialmente (dic-2025) estimamos unos</w:t>
      </w:r>
      <w:r>
        <w:t xml:space="preserve"> </w:t>
      </w:r>
      <w:r>
        <w:rPr>
          <w:i/>
          <w:iCs/>
        </w:rPr>
        <w:t xml:space="preserve">~10 GB transferidos por mes</w:t>
      </w:r>
      <w:r>
        <w:t xml:space="preserve">, mayormente por descargas de artículos, informes PDF y llamadas a APIs. Hacia 2027, este tráfico mensual rondará los</w:t>
      </w:r>
      <w:r>
        <w:t xml:space="preserve"> </w:t>
      </w:r>
      <w:r>
        <w:rPr>
          <w:b/>
          <w:bCs/>
        </w:rPr>
        <w:t xml:space="preserve">22–25 GB por mes</w:t>
      </w:r>
      <w:r>
        <w:t xml:space="preserve">, más del doble que al inicio. La mayor parte proviene de la descarga de ~42k documentos mensuales (unos 21 GB, asumiendo 0,5 MB c/u). Adicionalmente, existe una sobrecarga por</w:t>
      </w:r>
      <w:r>
        <w:t xml:space="preserve"> </w:t>
      </w:r>
      <w:r>
        <w:rPr>
          <w:i/>
          <w:iCs/>
        </w:rPr>
        <w:t xml:space="preserve">consultar fuentes que quizá no siempre entregan nuevos datos</w:t>
      </w:r>
      <w:r>
        <w:t xml:space="preserve">: cada fuente monitoreada puede implicar pequeñas peticiones regulares (pings, RSS, llamadas API) cuyo peso agregado es significativo. Por ejemplo, 600 fuentes consultadas diariamente a ~100 KB por consulta supondrían ~1,8 GB al mes solo en</w:t>
      </w:r>
      <w:r>
        <w:t xml:space="preserve"> </w:t>
      </w:r>
      <w:r>
        <w:rPr>
          <w:i/>
          <w:iCs/>
        </w:rPr>
        <w:t xml:space="preserve">polling</w:t>
      </w:r>
      <w:r>
        <w:t xml:space="preserve">. Nuestra proyección incorpora ese factor: en la gráfica, el ligero aumento escalonado en mar-2026, ago-2027, etc., refleja tanto más documentos descargados como más fuentes siendo contactadas. En cualquier caso, 25 GB/mes equivale a ~0,8 GB/día (unos 80–100 KB/s en promedio), carga perfectamente manejable con conexiones corporativas actuales. Incluso considerando picos horarios (p. ej., actualizaciones programadas nocturnas concentradas), una conexión de 100 Mbps bastaría para transferir varios GB por hora. Por lo tanto,</w:t>
      </w:r>
      <w:r>
        <w:t xml:space="preserve"> </w:t>
      </w:r>
      <w:r>
        <w:rPr>
          <w:b/>
          <w:bCs/>
        </w:rPr>
        <w:t xml:space="preserve">la infraestructura de red deberá soportar al menos ~1–2 MB/s sostenido</w:t>
      </w:r>
      <w:r>
        <w:t xml:space="preserve"> </w:t>
      </w:r>
      <w:r>
        <w:t xml:space="preserve">durante las ventanas de ingestión masiva, lo cual es estándar. Asimismo, debe contemplarse un tráfico saliente adicional menor: envíos de alertas, respuestas a usuarios, etc., que aumentarán con más usuarios (descarga de dashboards, exportación de informes). En suma, el</w:t>
      </w:r>
      <w:r>
        <w:t xml:space="preserve"> </w:t>
      </w:r>
      <w:r>
        <w:rPr>
          <w:b/>
          <w:bCs/>
        </w:rPr>
        <w:t xml:space="preserve">tráfico de entrada casi se triplicará</w:t>
      </w:r>
      <w:r>
        <w:t xml:space="preserve"> </w:t>
      </w:r>
      <w:r>
        <w:t xml:space="preserve">en dos años, pasando de ~10 a ~25 GB/mes, pero seguirá siendo modesto en términos de capacidad de red moderna. Será importante sí monitorear este uso para evitar latencias en la obtención de datos en tiempo real – especialmente conforme ciertas fuentes (ej. feeds de video o IoT) pudieran incorporarse en el futuro con tamaños mayores.</w:t>
      </w:r>
    </w:p>
    <w:p>
      <w:pPr>
        <w:pStyle w:val="FirstParagraph"/>
      </w:pPr>
      <w:r>
        <w:rPr>
          <w:i/>
          <w:iCs/>
        </w:rPr>
        <w:t xml:space="preserve">Consumo proyectado de</w:t>
      </w:r>
      <w:r>
        <w:t xml:space="preserve"> </w:t>
      </w:r>
      <w:r>
        <w:rPr>
          <w:i/>
          <w:iCs/>
        </w:rPr>
        <w:t xml:space="preserve">datos de red</w:t>
      </w:r>
      <w:r>
        <w:t xml:space="preserve"> </w:t>
      </w:r>
      <w:r>
        <w:rPr>
          <w:i/>
          <w:iCs/>
        </w:rPr>
        <w:t xml:space="preserve">(entrantes) por mes, en GB. Aumenta aproximadamente de ~10 GB/mes a ~23 GB/mes entre 2025 y 2027, debido al mayor número de documentos descargados y a la consulta de más fuentes. Este volumen de tráfico entrante, aunque creciente, es fácilmente manejable con conexiones de banda ancha empresarial y representa el costo de mantenerse actualizado con miles de fuentes en tiempo real.</w:t>
      </w:r>
    </w:p>
    <w:p>
      <w:pPr>
        <w:pStyle w:val="BodyText"/>
      </w:pPr>
      <w:r>
        <w:rPr>
          <w:b/>
          <w:bCs/>
        </w:rPr>
        <w:t xml:space="preserve">Conclusión:</w:t>
      </w:r>
      <w:r>
        <w:t xml:space="preserve"> </w:t>
      </w:r>
      <w:r>
        <w:t xml:space="preserve">Las proyecciones anteriores indican que la plataforma de Inteligencia Competitiva propuesta podrá</w:t>
      </w:r>
      <w:r>
        <w:t xml:space="preserve"> </w:t>
      </w:r>
      <w:r>
        <w:rPr>
          <w:b/>
          <w:bCs/>
        </w:rPr>
        <w:t xml:space="preserve">escalar adecuadamente</w:t>
      </w:r>
      <w:r>
        <w:t xml:space="preserve"> </w:t>
      </w:r>
      <w:r>
        <w:t xml:space="preserve">para satisfacer las necesidades estratégicas de AGUNSA Europa en los próximos años. Gracias a la planificación realizada, contamos con márgenes suficientes en todos los recursos: capacidad de procesamiento para analizar hasta cientos de miles de noticias y reportes (con CPU &lt;80%), memoria para indexar tecnologías emergentes y sesiones concurrentes (utilizando ~30 de 64 GB disponibles), almacenamiento para almacenar el histórico valioso de tendencias ASG (&lt;&lt; 1 TB), y conectividad para alimentarse de la creciente “marea” de información sostenible a nivel global</w:t>
      </w:r>
      <w:hyperlink r:id="rId22">
        <w:r>
          <w:rPr>
            <w:rStyle w:val="Hyperlink"/>
          </w:rPr>
          <w:t xml:space="preserve">[2]</w:t>
        </w:r>
      </w:hyperlink>
      <w:r>
        <w:t xml:space="preserve">. Este ejercicio de previsión, sustentado en datos de tendencias reales (ej. crecimiento exponencial de compromisos climáticos</w:t>
      </w:r>
      <w:hyperlink r:id="rId25">
        <w:r>
          <w:rPr>
            <w:rStyle w:val="Hyperlink"/>
          </w:rPr>
          <w:t xml:space="preserve">[5]</w:t>
        </w:r>
      </w:hyperlink>
      <w:r>
        <w:t xml:space="preserve"> </w:t>
      </w:r>
      <w:r>
        <w:t xml:space="preserve">e información disponible), brinda confianza en que la iniciativa digital de AGUNSA</w:t>
      </w:r>
      <w:r>
        <w:t xml:space="preserve"> </w:t>
      </w:r>
      <w:r>
        <w:rPr>
          <w:i/>
          <w:iCs/>
        </w:rPr>
        <w:t xml:space="preserve">podrá potenciar y expandir su red de servicios de manera sustentable</w:t>
      </w:r>
      <w:r>
        <w:t xml:space="preserve">, agregando valor a clientes y partes interesadas conforme a su misión. El monitoreo cercano de estos indicadores permitirá ajustar la infraestructura proactivamente – por ejemplo,</w:t>
      </w:r>
      <w:r>
        <w:t xml:space="preserve"> </w:t>
      </w:r>
      <w:r>
        <w:rPr>
          <w:b/>
          <w:bCs/>
        </w:rPr>
        <w:t xml:space="preserve">escalando vertical u horizontalmente</w:t>
      </w:r>
      <w:r>
        <w:t xml:space="preserve"> </w:t>
      </w:r>
      <w:r>
        <w:t xml:space="preserve">los componentes críticos antes de que alcancen sus límites – garantizando así que la plataforma opere con</w:t>
      </w:r>
      <w:r>
        <w:t xml:space="preserve"> </w:t>
      </w:r>
      <w:r>
        <w:rPr>
          <w:b/>
          <w:bCs/>
        </w:rPr>
        <w:t xml:space="preserve">99,9% de disponibilidad</w:t>
      </w:r>
      <w:r>
        <w:t xml:space="preserve"> </w:t>
      </w:r>
      <w:r>
        <w:t xml:space="preserve">y alta eficiencia, detectando novedades tecnológicas o ambientales en cuanto surjan. En definitiva, AGUNSA Europa estará preparada para liderar con información y tecnología la transición verde en logística, respaldada por un sistema capaz de crecer al ritmo de sus ambiciones.</w:t>
      </w:r>
    </w:p>
    <w:bookmarkEnd w:id="32"/>
    <w:bookmarkEnd w:id="33"/>
    <w:bookmarkEnd w:id="34"/>
    <w:p>
      <w:r>
        <w:pict>
          <v:rect style="width:0;height:1.5pt" o:hralign="center" o:hrstd="t" o:hr="t"/>
        </w:pict>
      </w:r>
    </w:p>
    <w:bookmarkStart w:id="42" w:name="citations"/>
    <w:p>
      <w:pPr>
        <w:pStyle w:val="FirstParagraph"/>
      </w:pPr>
      <w:hyperlink r:id="rId21">
        <w:r>
          <w:rPr>
            <w:rStyle w:val="Hyperlink"/>
          </w:rPr>
          <w:t xml:space="preserve">[1]</w:t>
        </w:r>
      </w:hyperlink>
      <w:r>
        <w:t xml:space="preserve"> </w:t>
      </w:r>
      <w:r>
        <w:t xml:space="preserve">amte.org.mx</w:t>
      </w:r>
    </w:p>
    <w:p>
      <w:pPr>
        <w:pStyle w:val="BodyText"/>
      </w:pPr>
      <w:hyperlink r:id="rId35">
        <w:r>
          <w:rPr>
            <w:rStyle w:val="Hyperlink"/>
          </w:rPr>
          <w:t xml:space="preserve">https://www.amte.org.mx/portal/wp-content/uploads/2011/01/Sistemas-de-Monitoreo-e-Inteligencia-Competitiva.pdf</w:t>
        </w:r>
      </w:hyperlink>
    </w:p>
    <w:p>
      <w:pPr>
        <w:pStyle w:val="BodyText"/>
      </w:pPr>
      <w:hyperlink r:id="rId22">
        <w:r>
          <w:rPr>
            <w:rStyle w:val="Hyperlink"/>
          </w:rPr>
          <w:t xml:space="preserve">[2]</w:t>
        </w:r>
      </w:hyperlink>
      <w:r>
        <w:t xml:space="preserve"> </w:t>
      </w:r>
      <w:r>
        <w:t xml:space="preserve">Reasons and forms of media bias. Based on: [51].  | Download Scientific Diagram</w:t>
      </w:r>
    </w:p>
    <w:p>
      <w:pPr>
        <w:pStyle w:val="BodyText"/>
      </w:pPr>
      <w:hyperlink r:id="rId36">
        <w:r>
          <w:rPr>
            <w:rStyle w:val="Hyperlink"/>
          </w:rPr>
          <w:t xml:space="preserve">https://www.researchgate.net/figure/Reasons-and-forms-of-media-bias-Based-on-51_fig1_325228442</w:t>
        </w:r>
      </w:hyperlink>
    </w:p>
    <w:p>
      <w:pPr>
        <w:pStyle w:val="BodyText"/>
      </w:pPr>
      <w:hyperlink r:id="rId23">
        <w:r>
          <w:rPr>
            <w:rStyle w:val="Hyperlink"/>
          </w:rPr>
          <w:t xml:space="preserve">[3]</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r>
        <w:t xml:space="preserve">Tecnología verde y tamaño del mercado de sostenibilidad | Informe [2032]</w:t>
      </w:r>
      <w:r>
        <w:t xml:space="preserve"> </w:t>
      </w:r>
    </w:p>
    <w:p>
      <w:pPr>
        <w:pStyle w:val="BodyText"/>
      </w:pPr>
      <w:hyperlink r:id="rId37">
        <w:r>
          <w:rPr>
            <w:rStyle w:val="Hyperlink"/>
          </w:rPr>
          <w:t xml:space="preserve">https://www.fortunebusinessinsights.com/es/green-technology-and-sustainability-market-102221</w:t>
        </w:r>
      </w:hyperlink>
    </w:p>
    <w:p>
      <w:pPr>
        <w:pStyle w:val="BodyText"/>
      </w:pPr>
      <w:hyperlink r:id="rId24">
        <w:r>
          <w:rPr>
            <w:rStyle w:val="Hyperlink"/>
          </w:rPr>
          <w:t xml:space="preserve">[4]</w:t>
        </w:r>
      </w:hyperlink>
      <w:r>
        <w:t xml:space="preserve"> </w:t>
      </w:r>
      <w:r>
        <w:t xml:space="preserve">World Intellectual Property Indicators 2024: Highlights - Patents ...</w:t>
      </w:r>
    </w:p>
    <w:p>
      <w:pPr>
        <w:pStyle w:val="BodyText"/>
      </w:pPr>
      <w:hyperlink r:id="rId38">
        <w:r>
          <w:rPr>
            <w:rStyle w:val="Hyperlink"/>
          </w:rPr>
          <w:t xml:space="preserve">https://www.wipo.int/web-publications/world-intellectual-property-indicators-2024-highlights/en/patents-highlights.html</w:t>
        </w:r>
      </w:hyperlink>
    </w:p>
    <w:p>
      <w:pPr>
        <w:pStyle w:val="BodyText"/>
      </w:pPr>
      <w:hyperlink r:id="rId25">
        <w:r>
          <w:rPr>
            <w:rStyle w:val="Hyperlink"/>
          </w:rPr>
          <w:t xml:space="preserve">[5]</w:t>
        </w:r>
      </w:hyperlink>
      <w:r>
        <w:t xml:space="preserve"> </w:t>
      </w:r>
      <w:r>
        <w:t xml:space="preserve"> </w:t>
      </w:r>
      <w:r>
        <w:t xml:space="preserve">227% jump in companies setting comprehensive climate targets as corporate climate planning accelerates - Science Based Targets Initiative</w:t>
      </w:r>
      <w:r>
        <w:t xml:space="preserve"> </w:t>
      </w:r>
    </w:p>
    <w:p>
      <w:pPr>
        <w:pStyle w:val="BodyText"/>
      </w:pPr>
      <w:hyperlink r:id="rId39">
        <w:r>
          <w:rPr>
            <w:rStyle w:val="Hyperlink"/>
          </w:rPr>
          <w:t xml:space="preserve">https://sciencebasedtargets.org/news/227-jump-in-companies-setting-comprehensive-climate-targets-as-corporate-climate-planning-accelerates</w:t>
        </w:r>
      </w:hyperlink>
    </w:p>
    <w:p>
      <w:pPr>
        <w:pStyle w:val="BodyText"/>
      </w:pPr>
      <w:hyperlink r:id="rId26">
        <w:r>
          <w:rPr>
            <w:rStyle w:val="Hyperlink"/>
          </w:rPr>
          <w:t xml:space="preserve">[6]</w:t>
        </w:r>
      </w:hyperlink>
      <w:r>
        <w:t xml:space="preserve"> </w:t>
      </w:r>
      <w:r>
        <w:t xml:space="preserve">Nearly Half of Fortune 500 Companies Engaged in Major Climate ...</w:t>
      </w:r>
    </w:p>
    <w:p>
      <w:pPr>
        <w:pStyle w:val="BodyText"/>
      </w:pPr>
      <w:hyperlink r:id="rId40">
        <w:r>
          <w:rPr>
            <w:rStyle w:val="Hyperlink"/>
          </w:rPr>
          <w:t xml:space="preserve">https://www.dgardiner.com/fortune-500-climate-initiatives-2023/</w:t>
        </w:r>
      </w:hyperlink>
    </w:p>
    <w:p>
      <w:pPr>
        <w:pStyle w:val="BodyText"/>
      </w:pPr>
      <w:hyperlink r:id="rId27">
        <w:r>
          <w:rPr>
            <w:rStyle w:val="Hyperlink"/>
          </w:rPr>
          <w:t xml:space="preserve">[7]</w:t>
        </w:r>
      </w:hyperlink>
      <w:r>
        <w:t xml:space="preserve"> </w:t>
      </w:r>
      <w:r>
        <w:t xml:space="preserve"> </w:t>
      </w:r>
      <w:r>
        <w:t xml:space="preserve">Mapped: Climate change laws around the world - Carbon Brief</w:t>
      </w:r>
      <w:r>
        <w:t xml:space="preserve"> </w:t>
      </w:r>
    </w:p>
    <w:p>
      <w:pPr>
        <w:pStyle w:val="BodyText"/>
      </w:pPr>
      <w:hyperlink r:id="rId41">
        <w:r>
          <w:rPr>
            <w:rStyle w:val="Hyperlink"/>
          </w:rPr>
          <w:t xml:space="preserve">https://www.carbonbrief.org/mapped-climate-change-laws-around-world/</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sciencebasedtargets.org/news/227-jump-in-companies-setting-comprehensive-climate-targets-as-corporate-climate-planning-accelerates" TargetMode="External" /><Relationship Type="http://schemas.openxmlformats.org/officeDocument/2006/relationships/hyperlink" Id="rId25" Target="https://sciencebasedtargets.org/news/227-jump-in-companies-setting-comprehensive-climate-targets-as-corporate-climate-planning-accelerates#:~:text=,based" TargetMode="External" /><Relationship Type="http://schemas.openxmlformats.org/officeDocument/2006/relationships/hyperlink" Id="rId35" Target="https://www.amte.org.mx/portal/wp-content/uploads/2011/01/Sistemas-de-Monitoreo-e-Inteligencia-Competitiva.pdf" TargetMode="External" /><Relationship Type="http://schemas.openxmlformats.org/officeDocument/2006/relationships/hyperlink" Id="rId21" Target="https://www.amte.org.mx/portal/wp-content/uploads/2011/01/Sistemas-de-Monitoreo-e-Inteligencia-Competitiva.pdf#:~:text=3%C2%B4500%20fuentes%C2%A0secundarias,actividades" TargetMode="External" /><Relationship Type="http://schemas.openxmlformats.org/officeDocument/2006/relationships/hyperlink" Id="rId41" Target="https://www.carbonbrief.org/mapped-climate-change-laws-around-world/" TargetMode="External" /><Relationship Type="http://schemas.openxmlformats.org/officeDocument/2006/relationships/hyperlink" Id="rId27" Target="https://www.carbonbrief.org/mapped-climate-change-laws-around-world/#:~:text=There%20has%20been%20a%2020,of%20relevant%20policy%20and%20legislation" TargetMode="External" /><Relationship Type="http://schemas.openxmlformats.org/officeDocument/2006/relationships/hyperlink" Id="rId40" Target="https://www.dgardiner.com/fortune-500-climate-initiatives-2023/" TargetMode="External" /><Relationship Type="http://schemas.openxmlformats.org/officeDocument/2006/relationships/hyperlink" Id="rId26" Target="https://www.dgardiner.com/fortune-500-climate-initiatives-2023/#:~:text=Nearly%20Half%20of%20Fortune%20500,the%202021%20edition%20of" TargetMode="External" /><Relationship Type="http://schemas.openxmlformats.org/officeDocument/2006/relationships/hyperlink" Id="rId37" Target="https://www.fortunebusinessinsights.com/es/green-technology-and-sustainability-market-102221" TargetMode="External" /><Relationship Type="http://schemas.openxmlformats.org/officeDocument/2006/relationships/hyperlink" Id="rId23" Target="https://www.fortunebusinessinsights.com/es/green-technology-and-sustainability-market-102221#:~:text=%C3%8Dndice%20de%20crecimiento" TargetMode="External" /><Relationship Type="http://schemas.openxmlformats.org/officeDocument/2006/relationships/hyperlink" Id="rId30" Target="https://www.fortunebusinessinsights.com/es/green-technology-and-sustainability-market-102221#:~:text=El%20cuadro%20a%20continuaci%C3%B3n%20representa,mundo%20en%20comparaci%C3%B3n%20con%202018" TargetMode="External" /><Relationship Type="http://schemas.openxmlformats.org/officeDocument/2006/relationships/hyperlink" Id="rId31" Target="https://www.fortunebusinessinsights.com/es/green-technology-and-sustainability-market-102221#:~:text=Per%C3%ADodo%20de%20pron%C3%B3stico" TargetMode="External" /><Relationship Type="http://schemas.openxmlformats.org/officeDocument/2006/relationships/hyperlink" Id="rId36" Target="https://www.researchgate.net/figure/Reasons-and-forms-of-media-bias-Based-on-51_fig1_325228442" TargetMode="External" /><Relationship Type="http://schemas.openxmlformats.org/officeDocument/2006/relationships/hyperlink" Id="rId22" Target="https://www.researchgate.net/figure/Reasons-and-forms-of-media-bias-Based-on-51_fig1_325228442#:~:text=," TargetMode="External" /><Relationship Type="http://schemas.openxmlformats.org/officeDocument/2006/relationships/hyperlink" Id="rId38" Target="https://www.wipo.int/web-publications/world-intellectual-property-indicators-2024-highlights/en/patents-highlights.html" TargetMode="External" /><Relationship Type="http://schemas.openxmlformats.org/officeDocument/2006/relationships/hyperlink" Id="rId24" Target="https://www.wipo.int/web-publications/world-intellectual-property-indicators-2024-highlights/en/patents-highlights.html#:~:text=,growth%20rate%20since%202012" TargetMode="External" /></Relationships>
</file>

<file path=word/_rels/footnotes.xml.rels><?xml version="1.0" encoding="UTF-8"?><Relationships xmlns="http://schemas.openxmlformats.org/package/2006/relationships"><Relationship Type="http://schemas.openxmlformats.org/officeDocument/2006/relationships/hyperlink" Id="rId39" Target="https://sciencebasedtargets.org/news/227-jump-in-companies-setting-comprehensive-climate-targets-as-corporate-climate-planning-accelerates" TargetMode="External" /><Relationship Type="http://schemas.openxmlformats.org/officeDocument/2006/relationships/hyperlink" Id="rId25" Target="https://sciencebasedtargets.org/news/227-jump-in-companies-setting-comprehensive-climate-targets-as-corporate-climate-planning-accelerates#:~:text=,based" TargetMode="External" /><Relationship Type="http://schemas.openxmlformats.org/officeDocument/2006/relationships/hyperlink" Id="rId35" Target="https://www.amte.org.mx/portal/wp-content/uploads/2011/01/Sistemas-de-Monitoreo-e-Inteligencia-Competitiva.pdf" TargetMode="External" /><Relationship Type="http://schemas.openxmlformats.org/officeDocument/2006/relationships/hyperlink" Id="rId21" Target="https://www.amte.org.mx/portal/wp-content/uploads/2011/01/Sistemas-de-Monitoreo-e-Inteligencia-Competitiva.pdf#:~:text=3%C2%B4500%20fuentes%C2%A0secundarias,actividades" TargetMode="External" /><Relationship Type="http://schemas.openxmlformats.org/officeDocument/2006/relationships/hyperlink" Id="rId41" Target="https://www.carbonbrief.org/mapped-climate-change-laws-around-world/" TargetMode="External" /><Relationship Type="http://schemas.openxmlformats.org/officeDocument/2006/relationships/hyperlink" Id="rId27" Target="https://www.carbonbrief.org/mapped-climate-change-laws-around-world/#:~:text=There%20has%20been%20a%2020,of%20relevant%20policy%20and%20legislation" TargetMode="External" /><Relationship Type="http://schemas.openxmlformats.org/officeDocument/2006/relationships/hyperlink" Id="rId40" Target="https://www.dgardiner.com/fortune-500-climate-initiatives-2023/" TargetMode="External" /><Relationship Type="http://schemas.openxmlformats.org/officeDocument/2006/relationships/hyperlink" Id="rId26" Target="https://www.dgardiner.com/fortune-500-climate-initiatives-2023/#:~:text=Nearly%20Half%20of%20Fortune%20500,the%202021%20edition%20of" TargetMode="External" /><Relationship Type="http://schemas.openxmlformats.org/officeDocument/2006/relationships/hyperlink" Id="rId37" Target="https://www.fortunebusinessinsights.com/es/green-technology-and-sustainability-market-102221" TargetMode="External" /><Relationship Type="http://schemas.openxmlformats.org/officeDocument/2006/relationships/hyperlink" Id="rId23" Target="https://www.fortunebusinessinsights.com/es/green-technology-and-sustainability-market-102221#:~:text=%C3%8Dndice%20de%20crecimiento" TargetMode="External" /><Relationship Type="http://schemas.openxmlformats.org/officeDocument/2006/relationships/hyperlink" Id="rId30" Target="https://www.fortunebusinessinsights.com/es/green-technology-and-sustainability-market-102221#:~:text=El%20cuadro%20a%20continuaci%C3%B3n%20representa,mundo%20en%20comparaci%C3%B3n%20con%202018" TargetMode="External" /><Relationship Type="http://schemas.openxmlformats.org/officeDocument/2006/relationships/hyperlink" Id="rId31" Target="https://www.fortunebusinessinsights.com/es/green-technology-and-sustainability-market-102221#:~:text=Per%C3%ADodo%20de%20pron%C3%B3stico" TargetMode="External" /><Relationship Type="http://schemas.openxmlformats.org/officeDocument/2006/relationships/hyperlink" Id="rId36" Target="https://www.researchgate.net/figure/Reasons-and-forms-of-media-bias-Based-on-51_fig1_325228442" TargetMode="External" /><Relationship Type="http://schemas.openxmlformats.org/officeDocument/2006/relationships/hyperlink" Id="rId22" Target="https://www.researchgate.net/figure/Reasons-and-forms-of-media-bias-Based-on-51_fig1_325228442#:~:text=," TargetMode="External" /><Relationship Type="http://schemas.openxmlformats.org/officeDocument/2006/relationships/hyperlink" Id="rId38" Target="https://www.wipo.int/web-publications/world-intellectual-property-indicators-2024-highlights/en/patents-highlights.html" TargetMode="External" /><Relationship Type="http://schemas.openxmlformats.org/officeDocument/2006/relationships/hyperlink" Id="rId24" Target="https://www.wipo.int/web-publications/world-intellectual-property-indicators-2024-highlights/en/patents-highlights.html#:~:text=,growth%20rate%20since%2020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2025-11-18T19:19:24Z</dcterms:created>
  <dcterms:modified xsi:type="dcterms:W3CDTF">2025-11-18T19:19:24Z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