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0B" w:rsidRDefault="00A17000">
      <w:r>
        <w:t>Proceso de alta de Usuario en Linux:</w:t>
      </w:r>
    </w:p>
    <w:p w:rsidR="00A17000" w:rsidRDefault="00A17000"/>
    <w:p w:rsidR="00A17000" w:rsidRDefault="00A17000">
      <w:r>
        <w:t xml:space="preserve">1.- Alta de SOEID para acceder por </w:t>
      </w:r>
      <w:proofErr w:type="spellStart"/>
      <w:r>
        <w:t>pbrun</w:t>
      </w:r>
      <w:proofErr w:type="spellEnd"/>
      <w:r>
        <w:t xml:space="preserve"> a </w:t>
      </w:r>
      <w:proofErr w:type="gramStart"/>
      <w:r>
        <w:t>todas los usuarios</w:t>
      </w:r>
      <w:proofErr w:type="gramEnd"/>
      <w:r>
        <w:t xml:space="preserve"> c4300001 al c4300008:</w:t>
      </w:r>
    </w:p>
    <w:p w:rsidR="00A17000" w:rsidRDefault="00A17000">
      <w:r>
        <w:t>Ejemplo:</w:t>
      </w:r>
    </w:p>
    <w:tbl>
      <w:tblPr>
        <w:tblW w:w="8190" w:type="dxa"/>
        <w:tblCellSpacing w:w="0" w:type="dxa"/>
        <w:tblBorders>
          <w:top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A17000" w:rsidTr="00A1700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A17000" w:rsidRPr="00A17000" w:rsidRDefault="00A17000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hyperlink r:id="rId4" w:history="1">
              <w:r w:rsidRPr="00A1700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  <w:lang w:val="en-US"/>
                </w:rPr>
                <w:t>New KDC LDAP Unix user account</w:t>
              </w:r>
            </w:hyperlink>
            <w:r w:rsidRPr="00A170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br/>
            </w:r>
            <w:proofErr w:type="spellStart"/>
            <w:r w:rsidRPr="00A170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Cantidad</w:t>
            </w:r>
            <w:proofErr w:type="spellEnd"/>
            <w:r w:rsidRPr="00A170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 : 1 </w:t>
            </w:r>
          </w:p>
          <w:tbl>
            <w:tblPr>
              <w:tblW w:w="0" w:type="auto"/>
              <w:tblCellSpacing w:w="13" w:type="dxa"/>
              <w:tblCellMar>
                <w:top w:w="26" w:type="dxa"/>
                <w:left w:w="26" w:type="dxa"/>
                <w:bottom w:w="26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915"/>
            </w:tblGrid>
            <w:tr w:rsidR="00A17000">
              <w:trPr>
                <w:tblCellSpacing w:w="13" w:type="dxa"/>
              </w:trPr>
              <w:tc>
                <w:tcPr>
                  <w:tcW w:w="0" w:type="auto"/>
                  <w:gridSpan w:val="2"/>
                  <w:shd w:val="clear" w:color="auto" w:fill="C0C0C0"/>
                  <w:vAlign w:val="center"/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Opciones de configuración 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Enable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Alternate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Business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Approver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Select an alternate approver from your management hierarchy: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Brown Diaz, Jorge Ernesto - 0004948153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choose a region for this KDC LDAP request: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North America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choose the realm for the account creation: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NA DEV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Realm</w:t>
                  </w:r>
                  <w:proofErr w:type="spellEnd"/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choose the OU for which you need the account: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CLOUD-DEV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press LOOKUP and choose your primary Unix group: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c430000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check here if you REQUIRE a change in password requirements: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choose the new password parameter you require: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Password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never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expires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Will </w:t>
                  </w:r>
                  <w:proofErr w:type="spellStart"/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Safeword</w:t>
                  </w:r>
                  <w:proofErr w:type="spellEnd"/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Authentication be required NOTE: By choosing YES, your account with be created in LDAP only and you will have no Kerberos </w:t>
                  </w:r>
                  <w:proofErr w:type="spellStart"/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prinicple</w:t>
                  </w:r>
                  <w:proofErr w:type="spellEnd"/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. This means you will receive no password and cannot request a password </w:t>
                  </w:r>
                  <w:proofErr w:type="gramStart"/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reset.: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A17000" w:rsidRP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press LOOKUP to find the owner of the primary group you have chosen to approve this request: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Owner=JORGE ERNESTO BROWN DIAZ (JB61511)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Justification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for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this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request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Usuario SOEID en RHEL DEV para realizar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pbrun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a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usuraio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funcional c4300001,c4300002, c4300003, c4300004, c4300005, c4300006, c4300007, c4300008</w:t>
                  </w:r>
                </w:p>
              </w:tc>
            </w:tr>
          </w:tbl>
          <w:p w:rsidR="00A17000" w:rsidRDefault="00A170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7000" w:rsidRDefault="00A17000"/>
    <w:p w:rsidR="00A17000" w:rsidRDefault="00A17000">
      <w:r>
        <w:lastRenderedPageBreak/>
        <w:t xml:space="preserve">2.- </w:t>
      </w:r>
      <w:proofErr w:type="spellStart"/>
      <w:r>
        <w:t>Reset</w:t>
      </w:r>
      <w:proofErr w:type="spellEnd"/>
      <w:r>
        <w:t xml:space="preserve"> del </w:t>
      </w:r>
      <w:proofErr w:type="spellStart"/>
      <w:r>
        <w:t>password</w:t>
      </w:r>
      <w:proofErr w:type="spellEnd"/>
      <w:r>
        <w:t xml:space="preserve"> del Usuario:</w:t>
      </w:r>
    </w:p>
    <w:tbl>
      <w:tblPr>
        <w:tblW w:w="8190" w:type="dxa"/>
        <w:tblCellSpacing w:w="0" w:type="dxa"/>
        <w:tblBorders>
          <w:top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A17000" w:rsidTr="00A1700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A17000" w:rsidRPr="00A17000" w:rsidRDefault="00A17000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hyperlink r:id="rId5" w:history="1">
              <w:r w:rsidRPr="00A17000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  <w:lang w:val="en-US"/>
                </w:rPr>
                <w:t>KDC User Password Reset</w:t>
              </w:r>
            </w:hyperlink>
            <w:r w:rsidRPr="00A170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br/>
            </w:r>
            <w:proofErr w:type="spellStart"/>
            <w:r w:rsidRPr="00A170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Cantidad</w:t>
            </w:r>
            <w:proofErr w:type="spellEnd"/>
            <w:r w:rsidRPr="00A170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 : 1 </w:t>
            </w:r>
          </w:p>
          <w:tbl>
            <w:tblPr>
              <w:tblW w:w="0" w:type="auto"/>
              <w:tblCellSpacing w:w="13" w:type="dxa"/>
              <w:tblCellMar>
                <w:top w:w="26" w:type="dxa"/>
                <w:left w:w="26" w:type="dxa"/>
                <w:bottom w:w="26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915"/>
            </w:tblGrid>
            <w:tr w:rsidR="00A17000">
              <w:trPr>
                <w:tblCellSpacing w:w="13" w:type="dxa"/>
              </w:trPr>
              <w:tc>
                <w:tcPr>
                  <w:tcW w:w="0" w:type="auto"/>
                  <w:gridSpan w:val="2"/>
                  <w:shd w:val="clear" w:color="auto" w:fill="C0C0C0"/>
                  <w:vAlign w:val="center"/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Opciones de configuración 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choose the region for this request: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North America</w:t>
                  </w:r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choose the realm for your password reset: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NA DEV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Realm</w:t>
                  </w:r>
                  <w:proofErr w:type="spellEnd"/>
                </w:p>
              </w:tc>
            </w:tr>
            <w:tr w:rsidR="00A17000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P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A17000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check this box if you REQUIRE a password that is not pre-expired: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A17000" w:rsidRDefault="00A17000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</w:tbl>
          <w:p w:rsidR="00A17000" w:rsidRDefault="00A170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7000" w:rsidRDefault="00A17000"/>
    <w:p w:rsidR="00A17000" w:rsidRDefault="00A17000">
      <w:r>
        <w:t xml:space="preserve">3.- </w:t>
      </w:r>
      <w:r w:rsidR="00F73EDC">
        <w:t xml:space="preserve">Solicitud de Privilegios </w:t>
      </w:r>
      <w:proofErr w:type="spellStart"/>
      <w:r w:rsidR="00F73EDC">
        <w:t>root</w:t>
      </w:r>
      <w:proofErr w:type="spellEnd"/>
      <w:r w:rsidR="00F25E5C">
        <w:t xml:space="preserve"> al SOEID</w:t>
      </w:r>
      <w:r w:rsidR="00F73EDC">
        <w:t>:</w:t>
      </w:r>
    </w:p>
    <w:p w:rsidR="00F73EDC" w:rsidRDefault="00F73EDC">
      <w:r>
        <w:t>Ejemplo:</w:t>
      </w:r>
    </w:p>
    <w:tbl>
      <w:tblPr>
        <w:tblW w:w="8190" w:type="dxa"/>
        <w:tblCellSpacing w:w="0" w:type="dxa"/>
        <w:tblBorders>
          <w:top w:val="single" w:sz="6" w:space="0" w:color="D7D7D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</w:tblGrid>
      <w:tr w:rsidR="00F73EDC" w:rsidTr="00F73ED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7D7D7"/>
              <w:right w:val="nil"/>
            </w:tcBorders>
            <w:tcMar>
              <w:top w:w="300" w:type="dxa"/>
              <w:left w:w="180" w:type="dxa"/>
              <w:bottom w:w="300" w:type="dxa"/>
              <w:right w:w="180" w:type="dxa"/>
            </w:tcMar>
            <w:vAlign w:val="center"/>
            <w:hideMark/>
          </w:tcPr>
          <w:p w:rsidR="00F73EDC" w:rsidRPr="00F73EDC" w:rsidRDefault="00F73EDC">
            <w:pPr>
              <w:spacing w:line="255" w:lineRule="atLeast"/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hyperlink r:id="rId6" w:history="1">
              <w:r w:rsidRPr="00F73EDC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  <w:lang w:val="en-US"/>
                </w:rPr>
                <w:t xml:space="preserve">New GSF </w:t>
              </w:r>
              <w:proofErr w:type="spellStart"/>
              <w:r w:rsidRPr="00F73EDC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  <w:lang w:val="en-US"/>
                </w:rPr>
                <w:t>PowerBroker</w:t>
              </w:r>
              <w:proofErr w:type="spellEnd"/>
              <w:r w:rsidRPr="00F73EDC">
                <w:rPr>
                  <w:rStyle w:val="Hipervnculo"/>
                  <w:rFonts w:ascii="Arial" w:hAnsi="Arial" w:cs="Arial"/>
                  <w:color w:val="2A89D3"/>
                  <w:sz w:val="18"/>
                  <w:szCs w:val="18"/>
                  <w:lang w:val="en-US"/>
                </w:rPr>
                <w:t xml:space="preserve"> Policy SOE Id access to root - Automated</w:t>
              </w:r>
            </w:hyperlink>
            <w:r w:rsidRPr="00F73EDC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br/>
            </w:r>
            <w:proofErr w:type="spellStart"/>
            <w:r w:rsidRPr="00F73EDC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Cantidad</w:t>
            </w:r>
            <w:proofErr w:type="spellEnd"/>
            <w:r w:rsidRPr="00F73EDC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 : 1 </w:t>
            </w:r>
          </w:p>
          <w:tbl>
            <w:tblPr>
              <w:tblW w:w="0" w:type="auto"/>
              <w:tblCellSpacing w:w="13" w:type="dxa"/>
              <w:tblCellMar>
                <w:top w:w="26" w:type="dxa"/>
                <w:left w:w="26" w:type="dxa"/>
                <w:bottom w:w="26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3915"/>
            </w:tblGrid>
            <w:tr w:rsidR="00F73EDC">
              <w:trPr>
                <w:tblCellSpacing w:w="13" w:type="dxa"/>
              </w:trPr>
              <w:tc>
                <w:tcPr>
                  <w:tcW w:w="0" w:type="auto"/>
                  <w:gridSpan w:val="2"/>
                  <w:shd w:val="clear" w:color="auto" w:fill="C0C0C0"/>
                  <w:vAlign w:val="center"/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Opciones de configuración 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Enable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Alternate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Business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Approver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Select an alternate approver from your management hierarchy: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Brown Diaz, Jorge Ernesto - 0004948153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ATTENTION: Before proceeding with this request please confirm that you have checked with your manager or co-worker and there is no current policy in place for the functional id and task in question. This request is only to create new policies. Requests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will be cancelled</w:t>
                  </w:r>
                  <w:proofErr w:type="gramEnd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if policies already exist. To add additional users /hosts a request using the “Add Hosts to GSF” and or “Add SOE ID Accounts to GSF” products will need to be submitted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instead.: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Confirmed</w:t>
                  </w:r>
                  <w:proofErr w:type="spellEnd"/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choose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your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region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North America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Are the server(s)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being requested</w:t>
                  </w:r>
                  <w:proofErr w:type="gramEnd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joined to a KDC LDAP OU? (Check </w:t>
                  </w:r>
                  <w:proofErr w:type="spell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configdb</w:t>
                  </w:r>
                  <w:proofErr w:type="spellEnd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or with the SA to confirm as needed):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Yes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choose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the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realm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NA DEV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Realm</w:t>
                  </w:r>
                  <w:proofErr w:type="spellEnd"/>
                </w:p>
              </w:tc>
            </w:tr>
            <w:tr w:rsidR="00F73EDC" w:rsidRP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lastRenderedPageBreak/>
                    <w:t>Please choose which policy you request: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Interactive Shell Access With ROOT Privilege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Please identify the Owner for the Powerbroker policy users group and hosts group. The Owner will be responsible for future approvals and quarterly EERS reviews: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Escobar Jantes, Julio - 1000159148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Please provide the abbreviation for your team/business name. You many only use letters in the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name.: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CORPORATE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choose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the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OU: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CLOUD-DEV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Please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select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the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environment</w:t>
                  </w:r>
                  <w:proofErr w:type="spellEnd"/>
                  <w:r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Dev</w:t>
                  </w:r>
                  <w:proofErr w:type="spellEnd"/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Please list the SOE ids of the Powerbroker User Group members. The SOE ids should be in lower case and separated by a comma. PLEASE NOTE: if you put anything in this field other </w:t>
                  </w:r>
                  <w:proofErr w:type="spell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then</w:t>
                  </w:r>
                  <w:proofErr w:type="spellEnd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soe</w:t>
                  </w:r>
                  <w:proofErr w:type="spellEnd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ids separated by a comma, the request will be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rejected.: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Perez Quintanar, Angel - AP39526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Please select the appropriate Unix Platform from the list below. This will control which servers you will see in the lookup. If the servers are being migrated from a Unix environment other than GSF, please choose the current environment. If servers have already been transitioned to GSF, please select “GSF” from the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list.: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GSF</w:t>
                  </w:r>
                </w:p>
              </w:tc>
            </w:tr>
            <w:tr w:rsidR="00F73EDC" w:rsidRP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Host group members to add. You can choose multiple servers for this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request.: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vm-2d9b-6102.nam.nsroot.net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Please press LOOKUP to find the approvers of this request. The approvers are the owners of the functional id on the hosts chosen. NOTE: This lookup may take a few minutes. Please be </w:t>
                  </w:r>
                  <w:proofErr w:type="gram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patient.:</w:t>
                  </w:r>
                  <w:proofErr w:type="gramEnd"/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REDDY, RAMASURYA [RR39417]</w:t>
                  </w:r>
                </w:p>
              </w:tc>
            </w:tr>
            <w:tr w:rsidR="00F73EDC">
              <w:trPr>
                <w:tblCellSpacing w:w="13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P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Please provide justification as to why Powerbroker access is being requested </w:t>
                  </w:r>
                  <w:proofErr w:type="spellStart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insteaf</w:t>
                  </w:r>
                  <w:proofErr w:type="spellEnd"/>
                  <w:r w:rsidRPr="00F73EDC">
                    <w:rPr>
                      <w:rStyle w:val="Textoennegrita"/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of GSF DAP access:</w:t>
                  </w:r>
                </w:p>
              </w:tc>
              <w:tc>
                <w:tcPr>
                  <w:tcW w:w="2500" w:type="pct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hideMark/>
                </w:tcPr>
                <w:p w:rsidR="00F73EDC" w:rsidRDefault="00F73EDC">
                  <w:pP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Migracion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 xml:space="preserve"> a Linux del sistema C430 Tarjeta Corporativa</w:t>
                  </w:r>
                </w:p>
              </w:tc>
            </w:tr>
          </w:tbl>
          <w:p w:rsidR="00F73EDC" w:rsidRDefault="00F73E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3EDC" w:rsidRDefault="00F73EDC"/>
    <w:p w:rsidR="00F25E5C" w:rsidRDefault="00F25E5C">
      <w:r>
        <w:t xml:space="preserve">4.- Solicitud de acceso a cada usuario </w:t>
      </w:r>
      <w:proofErr w:type="gramStart"/>
      <w:r>
        <w:t>funcional :</w:t>
      </w:r>
      <w:proofErr w:type="gramEnd"/>
      <w:r>
        <w:t xml:space="preserve"> Realizar un CMP por cada Usuario</w:t>
      </w:r>
      <w:r w:rsidR="002C07DD">
        <w:t xml:space="preserve"> c4300001 al c4300008</w:t>
      </w:r>
    </w:p>
    <w:p w:rsidR="00F25E5C" w:rsidRDefault="00F25E5C">
      <w:bookmarkStart w:id="0" w:name="_GoBack"/>
      <w:bookmarkEnd w:id="0"/>
      <w:r>
        <w:t xml:space="preserve">Ejemplo: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0"/>
      </w:tblGrid>
      <w:tr w:rsidR="00F25E5C" w:rsidTr="00F25E5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tbl>
            <w:tblPr>
              <w:tblW w:w="8190" w:type="dxa"/>
              <w:tblCellSpacing w:w="0" w:type="dxa"/>
              <w:tblBorders>
                <w:top w:val="single" w:sz="6" w:space="0" w:color="D7D7D7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90"/>
            </w:tblGrid>
            <w:tr w:rsidR="00F25E5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25E5C" w:rsidRDefault="00F25E5C"/>
              </w:tc>
            </w:tr>
            <w:tr w:rsidR="00F25E5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D7D7D7"/>
                    <w:right w:val="nil"/>
                  </w:tcBorders>
                  <w:tcMar>
                    <w:top w:w="300" w:type="dxa"/>
                    <w:left w:w="180" w:type="dxa"/>
                    <w:bottom w:w="300" w:type="dxa"/>
                    <w:right w:w="180" w:type="dxa"/>
                  </w:tcMar>
                  <w:vAlign w:val="center"/>
                  <w:hideMark/>
                </w:tcPr>
                <w:p w:rsidR="00F25E5C" w:rsidRPr="00F25E5C" w:rsidRDefault="00F25E5C">
                  <w:pPr>
                    <w:spacing w:line="255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</w:pPr>
                  <w:hyperlink r:id="rId7" w:history="1">
                    <w:r w:rsidRPr="00F25E5C">
                      <w:rPr>
                        <w:rStyle w:val="Hipervnculo"/>
                        <w:rFonts w:ascii="Arial" w:hAnsi="Arial" w:cs="Arial"/>
                        <w:color w:val="2A89D3"/>
                        <w:sz w:val="18"/>
                        <w:szCs w:val="18"/>
                        <w:lang w:val="en-US"/>
                      </w:rPr>
                      <w:t xml:space="preserve">New GSF </w:t>
                    </w:r>
                    <w:proofErr w:type="spellStart"/>
                    <w:r w:rsidRPr="00F25E5C">
                      <w:rPr>
                        <w:rStyle w:val="Hipervnculo"/>
                        <w:rFonts w:ascii="Arial" w:hAnsi="Arial" w:cs="Arial"/>
                        <w:color w:val="2A89D3"/>
                        <w:sz w:val="18"/>
                        <w:szCs w:val="18"/>
                        <w:lang w:val="en-US"/>
                      </w:rPr>
                      <w:t>PowerBroker</w:t>
                    </w:r>
                    <w:proofErr w:type="spellEnd"/>
                    <w:r w:rsidRPr="00F25E5C">
                      <w:rPr>
                        <w:rStyle w:val="Hipervnculo"/>
                        <w:rFonts w:ascii="Arial" w:hAnsi="Arial" w:cs="Arial"/>
                        <w:color w:val="2A89D3"/>
                        <w:sz w:val="18"/>
                        <w:szCs w:val="18"/>
                        <w:lang w:val="en-US"/>
                      </w:rPr>
                      <w:t xml:space="preserve"> Policy SOE Id access - Automated</w:t>
                    </w:r>
                  </w:hyperlink>
                  <w:r w:rsidRPr="00F25E5C"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 w:rsidRPr="00F25E5C"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>Cantidad</w:t>
                  </w:r>
                  <w:proofErr w:type="spellEnd"/>
                  <w:r w:rsidRPr="00F25E5C">
                    <w:rPr>
                      <w:rFonts w:ascii="Arial" w:hAnsi="Arial" w:cs="Arial"/>
                      <w:color w:val="333333"/>
                      <w:sz w:val="18"/>
                      <w:szCs w:val="18"/>
                      <w:lang w:val="en-US"/>
                    </w:rPr>
                    <w:t xml:space="preserve"> : 1 </w:t>
                  </w:r>
                </w:p>
                <w:tbl>
                  <w:tblPr>
                    <w:tblW w:w="0" w:type="auto"/>
                    <w:tblCellSpacing w:w="13" w:type="dxa"/>
                    <w:tblCellMar>
                      <w:top w:w="26" w:type="dxa"/>
                      <w:left w:w="26" w:type="dxa"/>
                      <w:bottom w:w="26" w:type="dxa"/>
                      <w:right w:w="2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15"/>
                    <w:gridCol w:w="3915"/>
                  </w:tblGrid>
                  <w:tr w:rsidR="00F25E5C">
                    <w:trPr>
                      <w:tblCellSpacing w:w="13" w:type="dxa"/>
                    </w:trPr>
                    <w:tc>
                      <w:tcPr>
                        <w:tcW w:w="0" w:type="auto"/>
                        <w:gridSpan w:val="2"/>
                        <w:shd w:val="clear" w:color="auto" w:fill="C0C0C0"/>
                        <w:vAlign w:val="center"/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Opciones de configuración 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Enable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Alternate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Business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Approver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Select an alternate approver from your management hierarchy: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Brown Diaz, Jorge Ernesto - 0004948153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ATTENTION: Before proceeding with this request please confirm that you have checked with your manager or co-worker and there is no current policy in place for the functional id and task in question. This request is only to create new policies. Requests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will be cancelled</w:t>
                        </w:r>
                        <w:proofErr w:type="gramEnd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 if policies already exist. To add additional users /hosts a request using the “Add Hosts to GSF” and or “Add SOE ID Accounts to GSF” products will need to be submitted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instead.:</w:t>
                        </w:r>
                        <w:proofErr w:type="gramEnd"/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Confirmed</w:t>
                        </w:r>
                        <w:proofErr w:type="spellEnd"/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Please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choose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your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region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North America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Are the server(s)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being requested</w:t>
                        </w:r>
                        <w:proofErr w:type="gramEnd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 joined to a KDC LDAP OU? (Check </w:t>
                        </w:r>
                        <w:proofErr w:type="spell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configdb</w:t>
                        </w:r>
                        <w:proofErr w:type="spellEnd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 or with the SA to confirm as needed):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Please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choose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the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realm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NA DEV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Realm</w:t>
                        </w:r>
                        <w:proofErr w:type="spellEnd"/>
                      </w:p>
                    </w:tc>
                  </w:tr>
                  <w:tr w:rsidR="00F25E5C" w:rsidRP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Please choose which policy you request: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Interactive Shell Access With Functional ID Privilege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Please identify the Owner for the Powerbroker policy users group and hosts group. The Owner will be responsible for future approvals and quarterly EERS reviews: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Escobar Jantes, Julio - 1000159148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Please provide the abbreviation for your team/business name. You many only use letters or numbers in the name. Please be sure there are no spaces in the name as this will not create the policy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correctly.:</w:t>
                        </w:r>
                        <w:proofErr w:type="gramEnd"/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BNMX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Please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choose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the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OU: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CLOUD-DEV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Please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select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the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environment</w:t>
                        </w:r>
                        <w:proofErr w:type="spellEnd"/>
                        <w:r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Dev</w:t>
                        </w:r>
                        <w:proofErr w:type="spellEnd"/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Please enter the name of the functional id to be used with the powerbroker access: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c4300002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lastRenderedPageBreak/>
                          <w:t xml:space="preserve">Please choose the SOE IDs for the User Group members. You can search on either name, SOE ID, or GEID and you may add multiple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users.:</w:t>
                        </w:r>
                        <w:proofErr w:type="gramEnd"/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Perez Quintanar, Angel - AP39526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Please select the appropriate Unix Platform from the list below. This will control which servers you will see in the lookup. If the servers are being migrated from a Unix environment other than GSF, please choose the current environment. If servers have already been transitioned to GSF, please select “GSF” from the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list.:</w:t>
                        </w:r>
                        <w:proofErr w:type="gramEnd"/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GSF</w:t>
                        </w:r>
                      </w:p>
                    </w:tc>
                  </w:tr>
                  <w:tr w:rsidR="00F25E5C" w:rsidRP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Host group members to add. You can choose multiple servers for this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request.:</w:t>
                        </w:r>
                        <w:proofErr w:type="gramEnd"/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vm-2d9b-6102.nam.nsroot.net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Please press LOOKUP to find the approvers of this request. The approvers are the owners of the functional id on the hosts chosen. NOTE: This lookup may take a few minutes. Please be </w:t>
                        </w:r>
                        <w:proofErr w:type="gram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patient.:</w:t>
                        </w:r>
                        <w:proofErr w:type="gramEnd"/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ESCOBAR JANTES, JULIO [JE59148]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Priviledged</w:t>
                        </w:r>
                        <w:proofErr w:type="spellEnd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 account status - if the functional account to be used with this access is privileged, justification for the request is required: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YES</w:t>
                        </w:r>
                      </w:p>
                    </w:tc>
                  </w:tr>
                  <w:tr w:rsidR="00F25E5C">
                    <w:trPr>
                      <w:tblCellSpacing w:w="13" w:type="dxa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P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</w:pPr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Please provide justification as to why Powerbroker access is being requested </w:t>
                        </w:r>
                        <w:proofErr w:type="spellStart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>insteaf</w:t>
                        </w:r>
                        <w:proofErr w:type="spellEnd"/>
                        <w:r w:rsidRPr="00F25E5C">
                          <w:rPr>
                            <w:rStyle w:val="Textoennegrita"/>
                            <w:rFonts w:ascii="Arial" w:hAnsi="Arial" w:cs="Arial"/>
                            <w:color w:val="333333"/>
                            <w:sz w:val="18"/>
                            <w:szCs w:val="18"/>
                            <w:lang w:val="en-US"/>
                          </w:rPr>
                          <w:t xml:space="preserve"> of GSF DAP access: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single" w:sz="6" w:space="0" w:color="D7D7D7"/>
                          <w:right w:val="nil"/>
                        </w:tcBorders>
                        <w:hideMark/>
                      </w:tcPr>
                      <w:p w:rsidR="00F25E5C" w:rsidRDefault="00F25E5C">
                        <w:pP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Se requiere tener acceso a este Usuario para las pruebas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>Migracion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</w:rPr>
                          <w:t xml:space="preserve"> a Linux.</w:t>
                        </w:r>
                      </w:p>
                    </w:tc>
                  </w:tr>
                </w:tbl>
                <w:p w:rsidR="00F25E5C" w:rsidRDefault="00F25E5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25E5C" w:rsidRDefault="00F25E5C">
            <w:pPr>
              <w:rPr>
                <w:sz w:val="20"/>
                <w:szCs w:val="20"/>
              </w:rPr>
            </w:pPr>
          </w:p>
        </w:tc>
      </w:tr>
    </w:tbl>
    <w:p w:rsidR="00F25E5C" w:rsidRDefault="00F25E5C"/>
    <w:p w:rsidR="00F25E5C" w:rsidRDefault="00F25E5C"/>
    <w:sectPr w:rsidR="00F25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00"/>
    <w:rsid w:val="00124833"/>
    <w:rsid w:val="002C07DD"/>
    <w:rsid w:val="00601143"/>
    <w:rsid w:val="00A17000"/>
    <w:rsid w:val="00F25E5C"/>
    <w:rsid w:val="00F7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AFC"/>
  <w15:chartTrackingRefBased/>
  <w15:docId w15:val="{09272E5E-3C32-44F2-B2E8-282A7AF5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1700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17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mp.nj.ssmb.com/marketplace/control/product/~productId=44301_167198_GLOB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p.nj.ssmb.com/marketplace/control/product/~productId=44301_171472_GLOBAL" TargetMode="External"/><Relationship Id="rId5" Type="http://schemas.openxmlformats.org/officeDocument/2006/relationships/hyperlink" Target="https://cmp.nj.ssmb.com/marketplace/control/product/~productId=29890_179059_GLOBAL" TargetMode="External"/><Relationship Id="rId4" Type="http://schemas.openxmlformats.org/officeDocument/2006/relationships/hyperlink" Target="https://cmp.nj.ssmb.com/marketplace/control/product/~productId=29890_112697_GLOB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1133</Words>
  <Characters>6235</Characters>
  <Application>Microsoft Office Word</Application>
  <DocSecurity>0</DocSecurity>
  <Lines>51</Lines>
  <Paragraphs>14</Paragraphs>
  <ScaleCrop>false</ScaleCrop>
  <Company>Citigroup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Quintanar, Angel [GCB-OT NE]</dc:creator>
  <cp:keywords/>
  <dc:description/>
  <cp:lastModifiedBy>Perez Quintanar, Angel [GCB-OT NE]</cp:lastModifiedBy>
  <cp:revision>4</cp:revision>
  <dcterms:created xsi:type="dcterms:W3CDTF">2020-03-03T23:00:00Z</dcterms:created>
  <dcterms:modified xsi:type="dcterms:W3CDTF">2020-03-03T23:22:00Z</dcterms:modified>
</cp:coreProperties>
</file>