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004</w:t>
            </w:r>
            <w:r>
              <w:rPr/>
              <w:t>7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MX_CR_SIT-004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7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Se consulta los usuarios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Se muestra la pantalla de usuarios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9"/>
        <w:gridCol w:w="4106"/>
        <w:gridCol w:w="5260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Usuarios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 usuarios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>Validar la consulta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Application>LibreOffice/6.3.1.2$Windows_X86_64 LibreOffice_project/b79626edf0065ac373bd1df5c28bd630b4424273</Application>
  <Pages>1</Pages>
  <Words>76</Words>
  <Characters>431</Characters>
  <CharactersWithSpaces>661</CharactersWithSpaces>
  <Paragraphs>30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2020-04-27T08:27:37Z</dcterms:modified>
  <cp:revision>39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