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D53D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D53DC">
            <w:r>
              <w:t>1180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B57A0" w:rsidP="004657E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MTC-118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Almacenar un cliente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F4E1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0405A8">
              <w:rPr>
                <w:rFonts w:ascii="Arial" w:hAnsi="Arial"/>
                <w:sz w:val="16"/>
                <w:lang w:val="es-MX"/>
              </w:rPr>
              <w:t>almacene un cliente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405A8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mediante con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 el cliente.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0405A8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el cliente 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2A" w:rsidRDefault="002C352A">
      <w:r>
        <w:separator/>
      </w:r>
    </w:p>
  </w:endnote>
  <w:endnote w:type="continuationSeparator" w:id="0">
    <w:p w:rsidR="002C352A" w:rsidRDefault="002C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B57A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B57A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2A" w:rsidRDefault="002C352A">
      <w:r>
        <w:separator/>
      </w:r>
    </w:p>
  </w:footnote>
  <w:footnote w:type="continuationSeparator" w:id="0">
    <w:p w:rsidR="002C352A" w:rsidRDefault="002C3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B57A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B57A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57A0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352A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57EF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3DC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2FB4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38BB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549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AD7EF1F-F70B-4271-B569-CBD002E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