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910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910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Actualiza o consulta el número de cliente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la lista de empresas por grupo.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3"/>
        <w:gridCol w:w="4106"/>
        <w:gridCol w:w="5266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Application>LibreOffice/6.3.1.2$Windows_X86_64 LibreOffice_project/b79626edf0065ac373bd1df5c28bd630b4424273</Application>
  <Pages>1</Pages>
  <Words>101</Words>
  <Characters>556</Characters>
  <CharactersWithSpaces>805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2020-05-08T13:34:20Z</dcterms:modified>
  <cp:revision>43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