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gvn0mmcudsf6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  <w:t xml:space="preserve">Análisis Predictivo en Accidentes Cerebrovasculares </w:t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gypzrh3uyv93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Informe de Análisis Exploratorio y Preparación de Datos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jc w:val="center"/>
        <w:rPr/>
      </w:pPr>
      <w:bookmarkStart w:colFirst="0" w:colLast="0" w:name="_heading=h.ljmibxc4hppq" w:id="2"/>
      <w:bookmarkEnd w:id="2"/>
      <w:r w:rsidDel="00000000" w:rsidR="00000000" w:rsidRPr="00000000">
        <w:rPr>
          <w:rtl w:val="0"/>
        </w:rPr>
        <w:t xml:space="preserve">PROGRAMACIÓN PARA LA CIENCIA DE DATOS</w:t>
      </w:r>
    </w:p>
    <w:p w:rsidR="00000000" w:rsidDel="00000000" w:rsidP="00000000" w:rsidRDefault="00000000" w:rsidRPr="00000000" w14:paraId="00000005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08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Mauricio Tapia Ayala</w:t>
      </w:r>
    </w:p>
    <w:p w:rsidR="00000000" w:rsidDel="00000000" w:rsidP="00000000" w:rsidRDefault="00000000" w:rsidRPr="00000000" w14:paraId="00000009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Tomas Zapata Labra</w:t>
      </w:r>
    </w:p>
    <w:p w:rsidR="00000000" w:rsidDel="00000000" w:rsidP="00000000" w:rsidRDefault="00000000" w:rsidRPr="00000000" w14:paraId="0000000A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Gabriel Muñoz Gómez</w:t>
      </w:r>
    </w:p>
    <w:p w:rsidR="00000000" w:rsidDel="00000000" w:rsidP="00000000" w:rsidRDefault="00000000" w:rsidRPr="00000000" w14:paraId="0000000B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Profesor:</w:t>
      </w:r>
      <w:r w:rsidDel="00000000" w:rsidR="00000000" w:rsidRPr="00000000">
        <w:rPr>
          <w:sz w:val="32"/>
          <w:szCs w:val="32"/>
          <w:rtl w:val="0"/>
        </w:rPr>
        <w:t xml:space="preserve"> Víctor Trigo Rojas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Subtitle"/>
        <w:rPr/>
      </w:pPr>
      <w:bookmarkStart w:colFirst="0" w:colLast="0" w:name="_heading=h.mb3qgrpi441x" w:id="3"/>
      <w:bookmarkEnd w:id="3"/>
      <w:r w:rsidDel="00000000" w:rsidR="00000000" w:rsidRPr="00000000">
        <w:rPr>
          <w:rtl w:val="0"/>
        </w:rPr>
        <w:t xml:space="preserve">ÍNDICE</w:t>
      </w:r>
    </w:p>
    <w:sdt>
      <w:sdtPr>
        <w:id w:val="-997868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fjhkflh565f4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6oacfxv94r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1. Resumen Ejecutivo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8w08nwnoem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Objetivos del Estudio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x0ozea1u6z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Hallazgos Clave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9ndkptp94p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Resultados del Preprocesamiento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ud22d802yez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Análisis Exploratorio de Datos (EDA)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k89gxm1dzb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Descripción de la Problemática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3ca1rjwyp6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Descripción del Dataset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73k8ghgus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Análisis de la Variable Objetivo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kgcw6yiegee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Distribución de Variables Numéricas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y4u1ru72d0e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 Comportamiento de Variables Categóricas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bb9dilbfjq4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 Identificación de Outliers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t0o0c41l0x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2.7. Matriz de Correlación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z1d75e0i467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Metodología de Limpieza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vgbamtp21qj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Eliminación de Variables y Varianza Cero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dorvho33a94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Transformación de Valores "Unknown" a NaN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b5a0g3mdha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Eliminación de Columnas con Alto Porcentaje de Nulos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82f1y8e4fwj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Imputación Inteligente de Valores Nulos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zadki6s6e7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 Tratamiento de Valores Atípicos (Outliers)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k22ochxn09q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Arquitectura del Pipeline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ckfqdjx1z9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Diagrama del Pipeline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8jx88jjs4x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Componentes del Pipeline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6cjhlc75bj3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Justificación de la Elección del Pipeline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ic8szz9lcg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MODELADO SUPERVISADO (FASE 2)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fp6ifbhfl4q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Metodología de Modelado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74lmbgd47i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Optimización de Hiperparámetros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yjvj4xg25p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 Resultados Cuantitativos (Holdout Tuned)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6jjg7q854c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5.4. Evaluación Final del Modelo Seleccionado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a53n1kn05a3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5.5. Interpretabilidad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x27qdccekzk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CONCLUSIONES Y TRABAJOS FUTUROS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21q0p4zexg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 Hallazgos Clave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zt21h78oji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 Dificultades Encontradas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hihuua6uxv4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6.3. Proyección a Machine Learning (Evaluación 2)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gh5bkeizvld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6.4. Trabajos Futuros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4tg6qhfrig4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6.5. Cumplimiento de Rúbrica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f2pi91xkm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6.6. Reproducibilidad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f7i2fc6bk6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6.7. Conclusión Final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9sfu79zoxmb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ANEXOS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280" w:lineRule="auto"/>
        <w:rPr>
          <w:rFonts w:ascii="Times New Roman" w:cs="Times New Roman" w:eastAsia="Times New Roman" w:hAnsi="Times New Roman"/>
        </w:rPr>
      </w:pPr>
      <w:bookmarkStart w:colFirst="0" w:colLast="0" w:name="_heading=h.ypejcynrh31g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280" w:lineRule="auto"/>
        <w:rPr>
          <w:rFonts w:ascii="Times New Roman" w:cs="Times New Roman" w:eastAsia="Times New Roman" w:hAnsi="Times New Roman"/>
        </w:rPr>
      </w:pPr>
      <w:bookmarkStart w:colFirst="0" w:colLast="0" w:name="_heading=h.fjhkflh565f4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INTRODUCCIÓN </w:t>
      </w:r>
    </w:p>
    <w:p w:rsidR="00000000" w:rsidDel="00000000" w:rsidP="00000000" w:rsidRDefault="00000000" w:rsidRPr="00000000" w14:paraId="0000003A">
      <w:pPr>
        <w:pStyle w:val="Heading2"/>
        <w:numPr>
          <w:ilvl w:val="0"/>
          <w:numId w:val="15"/>
        </w:numPr>
        <w:spacing w:after="280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heading=h.r6oacfxv94rn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Resumen Ejecutivo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El presente informe detalla el desarrollo completo de un sistema predictivo para la detección temprana de Accidentes Cerebrovasculares (ACV), abarcando desde el análisis exploratorio de datos (EDA) y el preprocesamiento hasta el modelado supervisado, la optimización de hiperparámetros y la evaluación final en holdout.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El estudio se basa en un dataset público de Kaggle que contiene 5,110 registros y 12 variables clínicas y demográficas de pacientes. Dado que la variable objetivo stroke presenta un desbalance severo (4.9% de positivos), la estrategia de evaluación prioriza el Recall y F1 de la clase positiva por sobre la Accuracy, con foco en minimizar falsos negativos.</w:t>
      </w:r>
    </w:p>
    <w:p w:rsidR="00000000" w:rsidDel="00000000" w:rsidP="00000000" w:rsidRDefault="00000000" w:rsidRPr="00000000" w14:paraId="0000003D">
      <w:pPr>
        <w:pStyle w:val="Heading2"/>
        <w:spacing w:after="280" w:lineRule="auto"/>
        <w:rPr>
          <w:rFonts w:ascii="Times New Roman" w:cs="Times New Roman" w:eastAsia="Times New Roman" w:hAnsi="Times New Roman"/>
        </w:rPr>
      </w:pPr>
      <w:bookmarkStart w:colFirst="0" w:colLast="0" w:name="_heading=h.18w08nwnoem1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1.2. Objetivos del Estudio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1 (Preprocesamiento y EDA):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Identificar los factores de riesgo más determinantes para la ocurrencia de ACV.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un pipeline de limpieza automatizado para nulos, outliers y valores desconocidos.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Preparar la estructura de datos para el modelado.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2 (Modelado y Evaluación):</w:t>
      </w:r>
    </w:p>
    <w:p w:rsidR="00000000" w:rsidDel="00000000" w:rsidP="00000000" w:rsidRDefault="00000000" w:rsidRPr="00000000" w14:paraId="00000044">
      <w:pPr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Entrenar modelos supervisados y no supervisados en pipeline reproducible.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Ejecutar tuning con GridSearchCV y RandomizedSearchCV.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Evaluar desempeño final en holdout/test.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Entregar artefactos, métricas y modelo serializado.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Incorporar interpretabilidad básica.</w:t>
      </w:r>
    </w:p>
    <w:p w:rsidR="00000000" w:rsidDel="00000000" w:rsidP="00000000" w:rsidRDefault="00000000" w:rsidRPr="00000000" w14:paraId="0000004A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280" w:lineRule="auto"/>
        <w:rPr>
          <w:rFonts w:ascii="Times New Roman" w:cs="Times New Roman" w:eastAsia="Times New Roman" w:hAnsi="Times New Roman"/>
        </w:rPr>
      </w:pPr>
      <w:bookmarkStart w:colFirst="0" w:colLast="0" w:name="_heading=h.wx0ozea1u6zt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1.3 Hallazgos Clave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Desbalance severo:</w:t>
      </w:r>
      <w:r w:rsidDel="00000000" w:rsidR="00000000" w:rsidRPr="00000000">
        <w:rPr>
          <w:rtl w:val="0"/>
        </w:rPr>
        <w:t xml:space="preserve"> Solo el 4.9% de los casos son positivos para ACV. Esto requiere técnicas de balanceo como SMOTE en etapas posteriores.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Factor principal:</w:t>
      </w:r>
      <w:r w:rsidDel="00000000" w:rsidR="00000000" w:rsidRPr="00000000">
        <w:rPr>
          <w:rtl w:val="0"/>
        </w:rPr>
        <w:t xml:space="preserve"> La edad muestra la correlación más alta (0.25) con la incidencia de ACV, confirmando que el envejecimiento es el factor de riesgo predominante.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Outliers significativos:</w:t>
      </w:r>
      <w:r w:rsidDel="00000000" w:rsidR="00000000" w:rsidRPr="00000000">
        <w:rPr>
          <w:rtl w:val="0"/>
        </w:rPr>
        <w:t xml:space="preserve"> Las variables de glucosa promedio e Índice de Masa Corporal (BMI) presentan valores extremos que requieren capping o transformación logarítmica.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Nulos detectados:</w:t>
      </w:r>
      <w:r w:rsidDel="00000000" w:rsidR="00000000" w:rsidRPr="00000000">
        <w:rPr>
          <w:rtl w:val="0"/>
        </w:rPr>
        <w:t xml:space="preserve"> La variable BMI presenta un 2.3% de valores nulos, mientras que smoking status contiene valores "Unknown" que deben ser transformados a NaN.</w:t>
      </w:r>
    </w:p>
    <w:p w:rsidR="00000000" w:rsidDel="00000000" w:rsidP="00000000" w:rsidRDefault="00000000" w:rsidRPr="00000000" w14:paraId="00000050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t9ndkptp94p8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1.4. Resultados del Preprocesamiento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Nulos totales:</w:t>
      </w:r>
      <w:sdt>
        <w:sdtPr>
          <w:id w:val="-1526386945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201 antes → 0 después (100% eliminados)</w:t>
          </w:r>
        </w:sdtContent>
      </w:sdt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Outliers en glucosa:</w:t>
      </w:r>
      <w:sdt>
        <w:sdtPr>
          <w:id w:val="-1606939806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147 antes → 0 después (100% capeados)</w:t>
          </w:r>
        </w:sdtContent>
      </w:sdt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Outliers en BMI:</w:t>
      </w:r>
      <w:sdt>
        <w:sdtPr>
          <w:id w:val="-999725062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203 antes → 0 después (100% capeados)</w:t>
          </w:r>
        </w:sdtContent>
      </w:sdt>
    </w:p>
    <w:p w:rsidR="00000000" w:rsidDel="00000000" w:rsidP="00000000" w:rsidRDefault="00000000" w:rsidRPr="00000000" w14:paraId="00000054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Columnas:</w:t>
      </w:r>
      <w:sdt>
        <w:sdtPr>
          <w:id w:val="-1243515577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12 antes → 11 después (se eliminó la variable "id" por no tener valor predictivo)</w:t>
          </w:r>
        </w:sdtContent>
      </w:sdt>
    </w:p>
    <w:p w:rsidR="00000000" w:rsidDel="00000000" w:rsidP="00000000" w:rsidRDefault="00000000" w:rsidRPr="00000000" w14:paraId="00000055">
      <w:pPr>
        <w:pStyle w:val="Heading1"/>
        <w:numPr>
          <w:ilvl w:val="0"/>
          <w:numId w:val="15"/>
        </w:numPr>
        <w:spacing w:after="280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heading=h.4ud22d802yez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Análisis Exploratorio de Datos (EDA)</w:t>
      </w:r>
    </w:p>
    <w:p w:rsidR="00000000" w:rsidDel="00000000" w:rsidP="00000000" w:rsidRDefault="00000000" w:rsidRPr="00000000" w14:paraId="00000056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4k89gxm1dzbt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 Descripción de la Problemática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Los Accidentes Cerebrovasculares (ACV) representan la segunda causa de muerte a nivel mundial. El problema central es la identificación temprana de pacientes con alto riesgo de ACV utilizando variables clínicas de fácil obtención. Los principales desafíos son:  la enfermedad es asintomática en etapas iniciales, responde a múltiples factores interrelacionados,  la incidencia poblacional es baja (generando desbalance de datos), y  los registros clínicos presentan valores faltantes o codificaciones inconsistentes como "Unknown". Este estudio busca generar un modelo predictivo que priorice la detección de casos positivos, aunque esto implique un costo de falsos positivos.</w:t>
      </w:r>
    </w:p>
    <w:p w:rsidR="00000000" w:rsidDel="00000000" w:rsidP="00000000" w:rsidRDefault="00000000" w:rsidRPr="00000000" w14:paraId="00000058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h3ca1rjwyp69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2.2. Descripción del Dataset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El dataset proviene de Kaggle ("Stroke Prediction Dataset") y contiene 5,110 registros con 12 variables. La variable objetivo es stroke (0 = No ACV, 1 = ACV). Las variables predictoras incluyen edad, nivel de glucosa, BMI, hipertensión, enfermedad cardíaca, estado civil, tipo de trabajo, tipo de residencia, género y estado de tabaquismo. La variable "id" es un identificador único sin valor predictivo.</w:t>
      </w:r>
    </w:p>
    <w:p w:rsidR="00000000" w:rsidDel="00000000" w:rsidP="00000000" w:rsidRDefault="00000000" w:rsidRPr="00000000" w14:paraId="0000005A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h73k8ghgus8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2.3. Análisis de la Variable Objetivo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La variable objetivo presenta un desbalance severo: 4,861 casos (95.1%) corresponden a No ACV y solo 249 casos (4.9%) corresponden a ACV. Esto implica que la precisión (accuracy) no es una métrica adecuada; se debe priorizar el Recall o F1-Score, además de aplicar técnicas de balanceo como SMOTE en etapas posteriores.</w:t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371975" cy="3276641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276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ind w:left="720" w:firstLine="0"/>
        <w:rPr>
          <w:rFonts w:ascii="Times New Roman" w:cs="Times New Roman" w:eastAsia="Times New Roman" w:hAnsi="Times New Roman"/>
        </w:rPr>
      </w:pPr>
      <w:bookmarkStart w:colFirst="0" w:colLast="0" w:name="_heading=h.lkgcw6yiegee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2.4. Distribución de Variables Numéricas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El análisis de histogramas revela hallazgos clave: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Edad:</w:t>
      </w:r>
      <w:r w:rsidDel="00000000" w:rsidR="00000000" w:rsidRPr="00000000">
        <w:rPr>
          <w:rtl w:val="0"/>
        </w:rPr>
        <w:t xml:space="preserve"> La población general se distribuye uniformemente, pero los casos de ACV se concentran en pacientes mayores de 60 años. La edad muestra la correlación más alta con ACV (0.25).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Nivel de glucosa:</w:t>
      </w:r>
      <w:r w:rsidDel="00000000" w:rsidR="00000000" w:rsidRPr="00000000">
        <w:rPr>
          <w:rtl w:val="0"/>
        </w:rPr>
        <w:t xml:space="preserve"> En pacientes con ACV se observa una distribución bimodal, con un grupo significativo de casos con niveles superiores a 200 mg/dL, identificando a la diabetes como predictor clave.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BMI:</w:t>
      </w:r>
      <w:r w:rsidDel="00000000" w:rsidR="00000000" w:rsidRPr="00000000">
        <w:rPr>
          <w:rtl w:val="0"/>
        </w:rPr>
        <w:t xml:space="preserve"> La mayoría de los casos de ACV se concentran en rangos de sobrepeso y obesidad (25-40 kg/m²), aunque la diferencia con la población general es menos marcada. Su correlación con ACV es baja (0.04).</w:t>
      </w:r>
    </w:p>
    <w:p w:rsidR="00000000" w:rsidDel="00000000" w:rsidP="00000000" w:rsidRDefault="00000000" w:rsidRPr="00000000" w14:paraId="00000062">
      <w:pPr>
        <w:jc w:val="center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4830128" cy="2886596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0128" cy="2886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hd w:fill="ffffff" w:val="clear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heading=h.wy4u1ru72d0e" w:id="15"/>
      <w:bookmarkEnd w:id="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2.5. Comportamiento de Variables Categóricas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Los principales hallazgos por variable categórica son: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hd w:fill="ffffff" w:val="clear"/>
        <w:spacing w:after="0" w:before="240" w:lineRule="auto"/>
        <w:ind w:left="720" w:hanging="360"/>
        <w:rPr>
          <w:color w:val="0f1115"/>
        </w:rPr>
      </w:pPr>
      <w:r w:rsidDel="00000000" w:rsidR="00000000" w:rsidRPr="00000000">
        <w:rPr>
          <w:b w:val="1"/>
          <w:bCs w:val="1"/>
          <w:color w:val="0f1115"/>
          <w:rtl w:val="0"/>
        </w:rPr>
        <w:t xml:space="preserve">Género:</w:t>
      </w:r>
      <w:r w:rsidDel="00000000" w:rsidR="00000000" w:rsidRPr="00000000">
        <w:rPr>
          <w:color w:val="0f1115"/>
          <w:rtl w:val="0"/>
        </w:rPr>
        <w:t xml:space="preserve"> No hay disparidad significativa entre hombres y mujeres. La categoría "Other" representa solo el 0.2% (11 pacientes) sin casos de ACV.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hd w:fill="ffffff" w:val="clear"/>
        <w:spacing w:after="0" w:lineRule="auto"/>
        <w:ind w:left="720" w:hanging="360"/>
        <w:rPr>
          <w:color w:val="0f1115"/>
        </w:rPr>
      </w:pPr>
      <w:r w:rsidDel="00000000" w:rsidR="00000000" w:rsidRPr="00000000">
        <w:rPr>
          <w:b w:val="1"/>
          <w:bCs w:val="1"/>
          <w:color w:val="0f1115"/>
          <w:rtl w:val="0"/>
        </w:rPr>
        <w:t xml:space="preserve">Estado civil:</w:t>
      </w:r>
      <w:r w:rsidDel="00000000" w:rsidR="00000000" w:rsidRPr="00000000">
        <w:rPr>
          <w:color w:val="0f1115"/>
          <w:rtl w:val="0"/>
        </w:rPr>
        <w:t xml:space="preserve"> Los pacientes casados presentan mayor frecuencia de ACV, aunque esto se correlaciona fuertemente con la edad avanzada.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hd w:fill="ffffff" w:val="clear"/>
        <w:spacing w:after="0" w:lineRule="auto"/>
        <w:ind w:left="720" w:hanging="360"/>
        <w:rPr>
          <w:color w:val="0f1115"/>
        </w:rPr>
      </w:pPr>
      <w:r w:rsidDel="00000000" w:rsidR="00000000" w:rsidRPr="00000000">
        <w:rPr>
          <w:b w:val="1"/>
          <w:bCs w:val="1"/>
          <w:color w:val="0f1115"/>
          <w:rtl w:val="0"/>
        </w:rPr>
        <w:t xml:space="preserve">Tipo de trabajo:</w:t>
      </w:r>
      <w:r w:rsidDel="00000000" w:rsidR="00000000" w:rsidRPr="00000000">
        <w:rPr>
          <w:color w:val="0f1115"/>
          <w:rtl w:val="0"/>
        </w:rPr>
        <w:t xml:space="preserve"> Los trabajadores del sector privado concentran la mayor cantidad de casos (por ser el grupo más numeroso); la categoría "children" presenta incidencia casi nula.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hd w:fill="ffffff" w:val="clear"/>
        <w:spacing w:after="240" w:lineRule="auto"/>
        <w:ind w:left="720" w:hanging="360"/>
        <w:rPr>
          <w:color w:val="0f1115"/>
        </w:rPr>
      </w:pPr>
      <w:r w:rsidDel="00000000" w:rsidR="00000000" w:rsidRPr="00000000">
        <w:rPr>
          <w:b w:val="1"/>
          <w:bCs w:val="1"/>
          <w:color w:val="0f1115"/>
          <w:rtl w:val="0"/>
        </w:rPr>
        <w:t xml:space="preserve">Tabaquismo:</w:t>
      </w:r>
      <w:r w:rsidDel="00000000" w:rsidR="00000000" w:rsidRPr="00000000">
        <w:rPr>
          <w:color w:val="0f1115"/>
          <w:rtl w:val="0"/>
        </w:rPr>
        <w:t xml:space="preserve"> El 29.1% de los registros son "Unknown", requiriendo transformación a NaN. Los exfumadores muestran mayor proporción relativa de ACV.</w:t>
      </w:r>
    </w:p>
    <w:p w:rsidR="00000000" w:rsidDel="00000000" w:rsidP="00000000" w:rsidRDefault="00000000" w:rsidRPr="00000000" w14:paraId="00000069">
      <w:pPr>
        <w:jc w:val="center"/>
        <w:rPr>
          <w:color w:val="0f1115"/>
        </w:rPr>
      </w:pPr>
      <w:r w:rsidDel="00000000" w:rsidR="00000000" w:rsidRPr="00000000">
        <w:rPr/>
        <w:drawing>
          <wp:inline distB="0" distT="0" distL="0" distR="0">
            <wp:extent cx="4833938" cy="26623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26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hd w:fill="ffffff" w:val="clear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heading=h.ybb9dilbfjq4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2.6. Identificación de Outliers</w:t>
      </w:r>
    </w:p>
    <w:p w:rsidR="00000000" w:rsidDel="00000000" w:rsidP="00000000" w:rsidRDefault="00000000" w:rsidRPr="00000000" w14:paraId="0000006B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El análisis de boxplots detectó: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hd w:fill="ffffff" w:val="clear"/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color w:val="0f1115"/>
          <w:rtl w:val="0"/>
        </w:rPr>
        <w:t xml:space="preserve">Glucosa: </w:t>
      </w:r>
      <w:r w:rsidDel="00000000" w:rsidR="00000000" w:rsidRPr="00000000">
        <w:rPr>
          <w:color w:val="0f1115"/>
          <w:rtl w:val="0"/>
        </w:rPr>
        <w:t xml:space="preserve">Múltiples outliers en el extremo superior (valores &gt;200 mg/dL), clínicamente relevantes pero que requieren capping.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color w:val="0f1115"/>
          <w:rtl w:val="0"/>
        </w:rPr>
        <w:t xml:space="preserve">BMI:</w:t>
      </w:r>
      <w:r w:rsidDel="00000000" w:rsidR="00000000" w:rsidRPr="00000000">
        <w:rPr>
          <w:color w:val="0f1115"/>
          <w:rtl w:val="0"/>
        </w:rPr>
        <w:t xml:space="preserve"> Outliers en ambos extremos, con valores que superan 60 kg/m² (obesidad mórbida) y valores cercanos a 10 kg/m² (bajo peso severo).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hd w:fill="ffffff" w:val="clear"/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color w:val="0f1115"/>
          <w:rtl w:val="0"/>
        </w:rPr>
        <w:t xml:space="preserve">Edad:</w:t>
      </w:r>
      <w:r w:rsidDel="00000000" w:rsidR="00000000" w:rsidRPr="00000000">
        <w:rPr>
          <w:color w:val="0f1115"/>
          <w:rtl w:val="0"/>
        </w:rPr>
        <w:t xml:space="preserve"> No presenta outliers significativos; el rango observado (0-82 años) es clínicamente plausible.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4391978" cy="2913046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978" cy="2913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hd w:fill="ffffff" w:val="clear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heading=h.6t0o0c41l0xy" w:id="17"/>
      <w:bookmarkEnd w:id="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2.7. Matriz de Correlación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La matriz de correlación de Pearson reveló: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b w:val="1"/>
          <w:bCs w:val="1"/>
          <w:color w:val="0f1115"/>
          <w:rtl w:val="0"/>
        </w:rPr>
        <w:t xml:space="preserve">Correlación con stroke:</w:t>
      </w:r>
      <w:r w:rsidDel="00000000" w:rsidR="00000000" w:rsidRPr="00000000">
        <w:rPr>
          <w:color w:val="0f1115"/>
          <w:rtl w:val="0"/>
        </w:rPr>
        <w:t xml:space="preserve"> edad (0.25), hipertensión (0.13), enfermedad cardíaca (0.13), glucosa (0.13), BMI (0.04).</w:t>
      </w:r>
    </w:p>
    <w:p w:rsidR="00000000" w:rsidDel="00000000" w:rsidP="00000000" w:rsidRDefault="00000000" w:rsidRPr="00000000" w14:paraId="00000073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b w:val="1"/>
          <w:bCs w:val="1"/>
          <w:color w:val="0f1115"/>
          <w:rtl w:val="0"/>
        </w:rPr>
        <w:t xml:space="preserve">Intercorrelaciones:</w:t>
      </w:r>
      <w:r w:rsidDel="00000000" w:rsidR="00000000" w:rsidRPr="00000000">
        <w:rPr>
          <w:color w:val="0f1115"/>
          <w:rtl w:val="0"/>
        </w:rPr>
        <w:t xml:space="preserve"> edad-BMI (0.33), edad-hipertensión (0.28), hipertensión-enfermedad cardíaca (0.27). No se detecta multicolinealidad severa (valores &gt;0.8), por lo que no es necesario eliminar variables por redundancia.</w:t>
      </w:r>
    </w:p>
    <w:p w:rsidR="00000000" w:rsidDel="00000000" w:rsidP="00000000" w:rsidRDefault="00000000" w:rsidRPr="00000000" w14:paraId="00000074">
      <w:pPr>
        <w:jc w:val="center"/>
        <w:rPr>
          <w:color w:val="0f1115"/>
        </w:rPr>
      </w:pPr>
      <w:r w:rsidDel="00000000" w:rsidR="00000000" w:rsidRPr="00000000">
        <w:rPr>
          <w:sz w:val="40"/>
          <w:szCs w:val="40"/>
        </w:rPr>
        <w:drawing>
          <wp:inline distB="0" distT="0" distL="0" distR="0">
            <wp:extent cx="4296454" cy="3785839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6454" cy="37858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heading=h.dz1d75e0i467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Metodología de Limpieza</w:t>
      </w:r>
    </w:p>
    <w:p w:rsidR="00000000" w:rsidDel="00000000" w:rsidP="00000000" w:rsidRDefault="00000000" w:rsidRPr="00000000" w14:paraId="000000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fase de limpieza y transformación se implementó mediante transformers personalizados basados en la API de Scikit-Learn (heredan de BaseEstimator y TransformerMixin), garantizando compatibilidad con pipelines de sklearn. A continuación, se detalla el flujo aplicado y la justificación técnica de cada decisión.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hd w:fill="ffffff" w:val="clear"/>
        <w:spacing w:after="240" w:before="240" w:lineRule="auto"/>
        <w:ind w:left="720" w:hanging="360"/>
        <w:rPr>
          <w:color w:val="0f1115"/>
          <w:highlight w:val="yellow"/>
        </w:rPr>
      </w:pPr>
      <w:r w:rsidDel="00000000" w:rsidR="00000000" w:rsidRPr="00000000">
        <w:rPr>
          <w:b w:val="1"/>
          <w:bCs w:val="1"/>
          <w:color w:val="0f1115"/>
          <w:highlight w:val="yellow"/>
          <w:rtl w:val="0"/>
        </w:rPr>
        <w:t xml:space="preserve">DynamicPreprocessor:</w:t>
      </w:r>
      <w:r w:rsidDel="00000000" w:rsidR="00000000" w:rsidRPr="00000000">
        <w:rPr>
          <w:color w:val="0f1115"/>
          <w:highlight w:val="yellow"/>
          <w:rtl w:val="0"/>
        </w:rPr>
        <w:t xml:space="preserve"> Transformer que detecta automáticamente columnas numéricas y categóricas en tiempo de ejecución, aplicando StandardScaler y OneHotEncoder. Resuelve conflictos cuando transformers previos (como DropZeroVarianceTransformer) eliminan columnas, adaptándose dinámicamente sin fallar.</w:t>
      </w:r>
    </w:p>
    <w:p w:rsidR="00000000" w:rsidDel="00000000" w:rsidP="00000000" w:rsidRDefault="00000000" w:rsidRPr="00000000" w14:paraId="00000078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qvgbamtp21qj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3.1. Eliminación de Variables y Varianza Cero</w:t>
      </w:r>
    </w:p>
    <w:p w:rsidR="00000000" w:rsidDel="00000000" w:rsidP="00000000" w:rsidRDefault="00000000" w:rsidRPr="00000000" w14:paraId="00000079">
      <w:pPr>
        <w:shd w:fill="ffffff" w:val="clear"/>
        <w:spacing w:after="240" w:before="240" w:lineRule="auto"/>
        <w:rPr>
          <w:i w:val="1"/>
          <w:iCs w:val="1"/>
          <w:color w:val="0f1115"/>
        </w:rPr>
      </w:pPr>
      <w:r w:rsidDel="00000000" w:rsidR="00000000" w:rsidRPr="00000000">
        <w:rPr>
          <w:b w:val="1"/>
          <w:bCs w:val="1"/>
          <w:color w:val="0f1115"/>
          <w:rtl w:val="0"/>
        </w:rPr>
        <w:t xml:space="preserve">Transformer utilizado: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DropColumnsTransformer</w:t>
      </w:r>
    </w:p>
    <w:p w:rsidR="00000000" w:rsidDel="00000000" w:rsidP="00000000" w:rsidRDefault="00000000" w:rsidRPr="00000000" w14:paraId="0000007A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La variable "id" fue eliminada por tres razones: la varianza máxima sin valor predictivo, la prevención de fuga de datos (data leakage) que podría generar sobreajuste, y el estándar profesional de eliminar identificadores antes del modelado.</w:t>
      </w:r>
    </w:p>
    <w:p w:rsidR="00000000" w:rsidDel="00000000" w:rsidP="00000000" w:rsidRDefault="00000000" w:rsidRPr="00000000" w14:paraId="0000007B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Adicionalmente,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DropZeroVarianceTransformer</w:t>
      </w:r>
      <w:r w:rsidDel="00000000" w:rsidR="00000000" w:rsidRPr="00000000">
        <w:rPr>
          <w:color w:val="0f1115"/>
          <w:rtl w:val="0"/>
        </w:rPr>
        <w:t xml:space="preserve"> identificó columnas numéricas con varianza cero. En este dataset no se detectaron columnas constantes.</w:t>
      </w:r>
    </w:p>
    <w:p w:rsidR="00000000" w:rsidDel="00000000" w:rsidP="00000000" w:rsidRDefault="00000000" w:rsidRPr="00000000" w14:paraId="0000007C">
      <w:pPr>
        <w:pStyle w:val="Heading2"/>
        <w:shd w:fill="ffffff" w:val="clear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heading=h.gdorvho33a94" w:id="20"/>
      <w:bookmarkEnd w:id="2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3.2. Transformación de Valores "Unknown" a NaN</w:t>
      </w:r>
    </w:p>
    <w:p w:rsidR="00000000" w:rsidDel="00000000" w:rsidP="00000000" w:rsidRDefault="00000000" w:rsidRPr="00000000" w14:paraId="0000007D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Transformer utilizado: </w:t>
      </w:r>
      <w:r w:rsidDel="00000000" w:rsidR="00000000" w:rsidRPr="00000000">
        <w:rPr>
          <w:i w:val="1"/>
          <w:iCs w:val="1"/>
          <w:rtl w:val="0"/>
        </w:rPr>
        <w:t xml:space="preserve">UnknownToNaNTransformer</w:t>
      </w:r>
    </w:p>
    <w:p w:rsidR="00000000" w:rsidDel="00000000" w:rsidP="00000000" w:rsidRDefault="00000000" w:rsidRPr="00000000" w14:paraId="0000007E">
      <w:pPr>
        <w:jc w:val="center"/>
        <w:rPr/>
      </w:pPr>
      <w:r w:rsidDel="00000000" w:rsidR="00000000" w:rsidRPr="00000000">
        <w:rPr>
          <w:rtl w:val="0"/>
        </w:rPr>
        <w:t xml:space="preserve">La variable "smoking_status" contenía un 29.1% de registros etiquetados como "Unknown", valores no detectables por isnull() por ser strings explícitos. El transformer:  identifica columnas categóricas,  reemplaza múltiples variantes ('unknown', 'Unknown', 'na', 'NA', '', 'null', etc.) por NaN, y  registra la cantidad de valores transformados. Este enfoque captura diversas representaciones de datos faltantes del mundo real.</w:t>
      </w:r>
      <w:r w:rsidDel="00000000" w:rsidR="00000000" w:rsidRPr="00000000">
        <w:rPr>
          <w:sz w:val="36"/>
          <w:szCs w:val="36"/>
        </w:rPr>
        <w:drawing>
          <wp:inline distB="0" distT="0" distL="0" distR="0">
            <wp:extent cx="3839528" cy="2348887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9528" cy="2348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yb5a0g3mdhaf" w:id="21"/>
      <w:bookmarkEnd w:id="2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3.3. Eliminación de Columnas con Alto Porcentaje de Nulos</w:t>
      </w:r>
    </w:p>
    <w:p w:rsidR="00000000" w:rsidDel="00000000" w:rsidP="00000000" w:rsidRDefault="00000000" w:rsidRPr="00000000" w14:paraId="00000080">
      <w:pPr>
        <w:shd w:fill="ffffff" w:val="clear"/>
        <w:spacing w:after="240" w:before="240" w:lineRule="auto"/>
        <w:rPr>
          <w:i w:val="1"/>
          <w:iCs w:val="1"/>
          <w:color w:val="0f1115"/>
        </w:rPr>
      </w:pPr>
      <w:r w:rsidDel="00000000" w:rsidR="00000000" w:rsidRPr="00000000">
        <w:rPr>
          <w:b w:val="1"/>
          <w:bCs w:val="1"/>
          <w:color w:val="0f1115"/>
          <w:rtl w:val="0"/>
        </w:rPr>
        <w:t xml:space="preserve">Transformer utilizado: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DropHighMissingTransformer</w:t>
      </w:r>
    </w:p>
    <w:p w:rsidR="00000000" w:rsidDel="00000000" w:rsidP="00000000" w:rsidRDefault="00000000" w:rsidRPr="00000000" w14:paraId="00000081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Evalúa el porcentaje de nulos por columna y elimina aquellas que superan un umbral configurable (por defecto, 80%). En el dataset de estudio, ninguna columna superó este umbral, pero el transformer se mantiene por robustez ante futuros datos.</w:t>
      </w:r>
    </w:p>
    <w:p w:rsidR="00000000" w:rsidDel="00000000" w:rsidP="00000000" w:rsidRDefault="00000000" w:rsidRPr="00000000" w14:paraId="00000082">
      <w:pPr>
        <w:pStyle w:val="Heading2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u82f1y8e4fwj" w:id="22"/>
      <w:bookmarkEnd w:id="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3.4. Imputación Inteligente de Valores Nulos</w:t>
      </w:r>
    </w:p>
    <w:p w:rsidR="00000000" w:rsidDel="00000000" w:rsidP="00000000" w:rsidRDefault="00000000" w:rsidRPr="00000000" w14:paraId="00000083">
      <w:pPr>
        <w:shd w:fill="ffffff" w:val="clear"/>
        <w:spacing w:after="240" w:before="240" w:lineRule="auto"/>
        <w:rPr>
          <w:i w:val="1"/>
          <w:iCs w:val="1"/>
          <w:color w:val="0f1115"/>
        </w:rPr>
      </w:pPr>
      <w:r w:rsidDel="00000000" w:rsidR="00000000" w:rsidRPr="00000000">
        <w:rPr>
          <w:b w:val="1"/>
          <w:bCs w:val="1"/>
          <w:color w:val="0f1115"/>
          <w:rtl w:val="0"/>
        </w:rPr>
        <w:t xml:space="preserve">Transformer utilizado: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SmartImputerTransformer</w:t>
      </w:r>
    </w:p>
    <w:p w:rsidR="00000000" w:rsidDel="00000000" w:rsidP="00000000" w:rsidRDefault="00000000" w:rsidRPr="00000000" w14:paraId="00000084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Para tratar los nulos detectados (2.3% en BMI y 29.1% transformados a NaN en smoking_status), se implementó una estrategia de imputación según el porcentaje de nulos:</w:t>
      </w:r>
    </w:p>
    <w:p w:rsidR="00000000" w:rsidDel="00000000" w:rsidP="00000000" w:rsidRDefault="00000000" w:rsidRPr="00000000" w14:paraId="00000085">
      <w:pPr>
        <w:shd w:fill="ffffff" w:val="clear"/>
        <w:spacing w:after="240" w:before="240" w:lineRule="auto"/>
        <w:rPr>
          <w:b w:val="1"/>
          <w:bCs w:val="1"/>
          <w:color w:val="0f1115"/>
        </w:rPr>
      </w:pPr>
      <w:r w:rsidDel="00000000" w:rsidR="00000000" w:rsidRPr="00000000">
        <w:rPr>
          <w:b w:val="1"/>
          <w:bCs w:val="1"/>
          <w:color w:val="0f1115"/>
          <w:rtl w:val="0"/>
        </w:rPr>
        <w:t xml:space="preserve">Estrategias implementadas:</w:t>
      </w:r>
    </w:p>
    <w:tbl>
      <w:tblPr>
        <w:tblStyle w:val="Table1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3825"/>
        <w:gridCol w:w="3405"/>
        <w:tblGridChange w:id="0">
          <w:tblGrid>
            <w:gridCol w:w="1980"/>
            <w:gridCol w:w="3825"/>
            <w:gridCol w:w="340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6">
            <w:pPr>
              <w:spacing w:after="0" w:line="391" w:lineRule="auto"/>
              <w:ind w:left="141" w:right="-192" w:firstLine="0"/>
              <w:rPr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Porcentaje de nulos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7">
            <w:pPr>
              <w:spacing w:after="0" w:line="391" w:lineRule="auto"/>
              <w:ind w:right="-126" w:hanging="141"/>
              <w:rPr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Estrategia para variables numéricas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8">
            <w:pPr>
              <w:spacing w:after="0" w:line="391" w:lineRule="auto"/>
              <w:ind w:right="-192" w:hanging="141"/>
              <w:rPr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Estrategia para variables categóricas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9">
            <w:pPr>
              <w:spacing w:after="0" w:line="391" w:lineRule="auto"/>
              <w:ind w:left="141" w:firstLine="0"/>
              <w:rPr>
                <w:b w:val="1"/>
                <w:bCs w:val="1"/>
                <w:color w:val="0f1115"/>
              </w:rPr>
            </w:pPr>
            <w:r w:rsidDel="00000000" w:rsidR="00000000" w:rsidRPr="00000000">
              <w:rPr>
                <w:b w:val="1"/>
                <w:bCs w:val="1"/>
                <w:color w:val="0f1115"/>
                <w:rtl w:val="0"/>
              </w:rPr>
              <w:t xml:space="preserve">&lt; 10%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A">
            <w:pPr>
              <w:spacing w:after="0" w:line="391" w:lineRule="auto"/>
              <w:ind w:right="-126" w:hanging="141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Imputación con mediana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8B">
            <w:pPr>
              <w:spacing w:after="0" w:line="391" w:lineRule="auto"/>
              <w:ind w:hanging="141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Imputación con moda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C">
            <w:pPr>
              <w:spacing w:after="0" w:line="391" w:lineRule="auto"/>
              <w:ind w:left="141" w:firstLine="0"/>
              <w:rPr>
                <w:b w:val="1"/>
                <w:bCs w:val="1"/>
                <w:color w:val="0f1115"/>
              </w:rPr>
            </w:pPr>
            <w:r w:rsidDel="00000000" w:rsidR="00000000" w:rsidRPr="00000000">
              <w:rPr>
                <w:b w:val="1"/>
                <w:bCs w:val="1"/>
                <w:color w:val="0f1115"/>
                <w:rtl w:val="0"/>
              </w:rPr>
              <w:t xml:space="preserve">10% - 50%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D">
            <w:pPr>
              <w:spacing w:after="0" w:line="391" w:lineRule="auto"/>
              <w:ind w:right="-126" w:hanging="141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Imputación con mediana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8E">
            <w:pPr>
              <w:spacing w:after="0" w:line="391" w:lineRule="auto"/>
              <w:ind w:hanging="141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Creación de categoría "missing"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F">
            <w:pPr>
              <w:spacing w:after="0" w:line="391" w:lineRule="auto"/>
              <w:ind w:left="141" w:firstLine="0"/>
              <w:rPr>
                <w:b w:val="1"/>
                <w:bCs w:val="1"/>
                <w:color w:val="0f1115"/>
              </w:rPr>
            </w:pPr>
            <w:r w:rsidDel="00000000" w:rsidR="00000000" w:rsidRPr="00000000">
              <w:rPr>
                <w:b w:val="1"/>
                <w:bCs w:val="1"/>
                <w:color w:val="0f1115"/>
                <w:rtl w:val="0"/>
              </w:rPr>
              <w:t xml:space="preserve">&gt; 50%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0">
            <w:pPr>
              <w:spacing w:after="0" w:line="391" w:lineRule="auto"/>
              <w:ind w:right="-126" w:hanging="141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Advertencia (debería haberse dropeado)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91">
            <w:pPr>
              <w:spacing w:after="0" w:line="391" w:lineRule="auto"/>
              <w:ind w:hanging="141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Advertencia</w:t>
            </w:r>
          </w:p>
        </w:tc>
      </w:tr>
    </w:tbl>
    <w:p w:rsidR="00000000" w:rsidDel="00000000" w:rsidP="00000000" w:rsidRDefault="00000000" w:rsidRPr="00000000" w14:paraId="00000092">
      <w:pPr>
        <w:numPr>
          <w:ilvl w:val="0"/>
          <w:numId w:val="17"/>
        </w:numPr>
        <w:shd w:fill="ffffff" w:val="clear"/>
        <w:spacing w:after="0" w:before="340" w:lineRule="auto"/>
        <w:ind w:left="720" w:hanging="360"/>
        <w:rPr>
          <w:color w:val="0f1115"/>
        </w:rPr>
      </w:pPr>
      <w:r w:rsidDel="00000000" w:rsidR="00000000" w:rsidRPr="00000000">
        <w:rPr>
          <w:b w:val="1"/>
          <w:bCs w:val="1"/>
          <w:color w:val="0f1115"/>
          <w:rtl w:val="0"/>
        </w:rPr>
        <w:t xml:space="preserve">Justificaciones:</w:t>
      </w:r>
      <w:r w:rsidDel="00000000" w:rsidR="00000000" w:rsidRPr="00000000">
        <w:rPr>
          <w:color w:val="0f1115"/>
          <w:rtl w:val="0"/>
        </w:rPr>
        <w:t xml:space="preserve">  La mediana es robusta frente a outliers presentes en glucosa y BMI; la categoría "missing" preserva información sobre la disponibilidad del dato;  la moda es conservadora para nulos esporádicos.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hd w:fill="ffffff" w:val="clear"/>
        <w:spacing w:after="240" w:lineRule="auto"/>
        <w:ind w:left="720" w:hanging="360"/>
        <w:rPr>
          <w:color w:val="0f1115"/>
        </w:rPr>
      </w:pPr>
      <w:r w:rsidDel="00000000" w:rsidR="00000000" w:rsidRPr="00000000">
        <w:rPr>
          <w:b w:val="1"/>
          <w:bCs w:val="1"/>
          <w:color w:val="0f1115"/>
          <w:rtl w:val="0"/>
        </w:rPr>
        <w:t xml:space="preserve">Aplicación específica: </w:t>
      </w:r>
      <w:r w:rsidDel="00000000" w:rsidR="00000000" w:rsidRPr="00000000">
        <w:rPr>
          <w:color w:val="0f1115"/>
          <w:rtl w:val="0"/>
        </w:rPr>
        <w:t xml:space="preserve">BMI se imputó con mediana (28.1 kg/m²). Smoking_status se imputó con categoría "missing", permitiendo que el modelo evalúe si el desconocimiento del hábito tabáquico tiene valor predictivo.</w:t>
      </w:r>
    </w:p>
    <w:p w:rsidR="00000000" w:rsidDel="00000000" w:rsidP="00000000" w:rsidRDefault="00000000" w:rsidRPr="00000000" w14:paraId="00000094">
      <w:pPr>
        <w:pStyle w:val="Heading2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tzadki6s6e7y" w:id="23"/>
      <w:bookmarkEnd w:id="2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3.5. Tratamiento de Valores Atípicos (Outliers)</w:t>
      </w:r>
    </w:p>
    <w:p w:rsidR="00000000" w:rsidDel="00000000" w:rsidP="00000000" w:rsidRDefault="00000000" w:rsidRPr="00000000" w14:paraId="00000095">
      <w:pPr>
        <w:shd w:fill="ffffff" w:val="clear"/>
        <w:spacing w:after="240" w:before="240" w:lineRule="auto"/>
        <w:rPr>
          <w:i w:val="1"/>
          <w:iCs w:val="1"/>
          <w:color w:val="0f1115"/>
        </w:rPr>
      </w:pPr>
      <w:r w:rsidDel="00000000" w:rsidR="00000000" w:rsidRPr="00000000">
        <w:rPr>
          <w:b w:val="1"/>
          <w:bCs w:val="1"/>
          <w:color w:val="0f1115"/>
          <w:rtl w:val="0"/>
        </w:rPr>
        <w:t xml:space="preserve">Transformer utilizado: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OutlierCapper</w:t>
      </w:r>
    </w:p>
    <w:p w:rsidR="00000000" w:rsidDel="00000000" w:rsidP="00000000" w:rsidRDefault="00000000" w:rsidRPr="00000000" w14:paraId="00000096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El análisis de boxplots reveló outliers en avg_glucose_level y bmi. Se implementó capping mediante el método del Rango Intercuartil (IQR), estándar profesional: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hd w:fill="ffffff" w:val="clear"/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rtl w:val="0"/>
        </w:rPr>
        <w:t xml:space="preserve">Q1 = percentil 25%, Q3 = percentil 75%, IQR = Q3 - Q1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hd w:fill="ffffff" w:val="clear"/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rtl w:val="0"/>
        </w:rPr>
        <w:t xml:space="preserve">Límite inferior = Q1 - 1.5 × IQR, Límite superior = Q3 + 1.5 × IQR</w:t>
      </w:r>
      <w:r w:rsidDel="00000000" w:rsidR="00000000" w:rsidRPr="00000000">
        <w:rPr>
          <w:rtl w:val="0"/>
        </w:rPr>
      </w:r>
    </w:p>
    <w:tbl>
      <w:tblPr>
        <w:tblStyle w:val="Table2"/>
        <w:tblW w:w="7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1980"/>
        <w:gridCol w:w="2010"/>
        <w:gridCol w:w="1740"/>
        <w:tblGridChange w:id="0">
          <w:tblGrid>
            <w:gridCol w:w="1995"/>
            <w:gridCol w:w="1980"/>
            <w:gridCol w:w="2010"/>
            <w:gridCol w:w="1740"/>
          </w:tblGrid>
        </w:tblGridChange>
      </w:tblGrid>
      <w:tr>
        <w:trPr>
          <w:cantSplit w:val="0"/>
          <w:trHeight w:val="23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9">
            <w:pPr>
              <w:shd w:fill="ffffff" w:val="clear"/>
              <w:spacing w:after="0" w:line="391" w:lineRule="auto"/>
              <w:ind w:left="141" w:right="-87" w:firstLine="0"/>
              <w:rPr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A">
            <w:pPr>
              <w:shd w:fill="ffffff" w:val="clear"/>
              <w:spacing w:after="0" w:line="391" w:lineRule="auto"/>
              <w:rPr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Límite inferior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B">
            <w:pPr>
              <w:shd w:fill="ffffff" w:val="clear"/>
              <w:spacing w:after="0" w:line="391" w:lineRule="auto"/>
              <w:rPr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Límite superior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C">
            <w:pPr>
              <w:shd w:fill="ffffff" w:val="clear"/>
              <w:spacing w:after="0" w:line="391" w:lineRule="auto"/>
              <w:rPr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Outliers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D">
            <w:pPr>
              <w:shd w:fill="ffffff" w:val="clear"/>
              <w:spacing w:after="0" w:line="391" w:lineRule="auto"/>
              <w:ind w:left="141" w:right="-87" w:firstLine="0"/>
              <w:rPr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avg_glucose_level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E">
            <w:pPr>
              <w:shd w:fill="ffffff" w:val="clear"/>
              <w:spacing w:after="0" w:line="391" w:lineRule="auto"/>
              <w:rPr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34.8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F">
            <w:pPr>
              <w:shd w:fill="ffffff" w:val="clear"/>
              <w:spacing w:after="0" w:line="391" w:lineRule="auto"/>
              <w:rPr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148.1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A0">
            <w:pPr>
              <w:shd w:fill="ffffff" w:val="clear"/>
              <w:spacing w:after="0" w:line="391" w:lineRule="auto"/>
              <w:rPr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147 (2.9%)</w:t>
            </w:r>
          </w:p>
        </w:tc>
      </w:tr>
      <w:tr>
        <w:trPr>
          <w:cantSplit w:val="0"/>
          <w:trHeight w:val="1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A1">
            <w:pPr>
              <w:shd w:fill="ffffff" w:val="clear"/>
              <w:spacing w:after="0" w:line="391" w:lineRule="auto"/>
              <w:ind w:left="141" w:right="-87" w:firstLine="0"/>
              <w:rPr>
                <w:b w:val="1"/>
                <w:bCs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0"/>
                <w:szCs w:val="20"/>
                <w:rtl w:val="0"/>
              </w:rPr>
              <w:t xml:space="preserve">bmi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A2">
            <w:pPr>
              <w:shd w:fill="ffffff" w:val="clear"/>
              <w:spacing w:after="0" w:line="391" w:lineRule="auto"/>
              <w:rPr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9.1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A3">
            <w:pPr>
              <w:shd w:fill="ffffff" w:val="clear"/>
              <w:spacing w:after="0" w:line="391" w:lineRule="auto"/>
              <w:rPr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47.5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A4">
            <w:pPr>
              <w:shd w:fill="ffffff" w:val="clear"/>
              <w:spacing w:after="0" w:line="391" w:lineRule="auto"/>
              <w:rPr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203 (4.0%)</w:t>
            </w:r>
          </w:p>
        </w:tc>
      </w:tr>
    </w:tbl>
    <w:p w:rsidR="00000000" w:rsidDel="00000000" w:rsidP="00000000" w:rsidRDefault="00000000" w:rsidRPr="00000000" w14:paraId="000000A5">
      <w:pPr>
        <w:numPr>
          <w:ilvl w:val="0"/>
          <w:numId w:val="8"/>
        </w:numPr>
        <w:shd w:fill="ffffff" w:val="clear"/>
        <w:spacing w:after="240" w:before="240" w:lineRule="auto"/>
        <w:ind w:left="720" w:hanging="360"/>
        <w:rPr>
          <w:color w:val="0f1115"/>
        </w:rPr>
      </w:pPr>
      <w:r w:rsidDel="00000000" w:rsidR="00000000" w:rsidRPr="00000000">
        <w:rPr>
          <w:b w:val="1"/>
          <w:bCs w:val="1"/>
          <w:color w:val="0f1115"/>
          <w:rtl w:val="0"/>
        </w:rPr>
        <w:t xml:space="preserve">Justificaciones:</w:t>
      </w:r>
      <w:r w:rsidDel="00000000" w:rsidR="00000000" w:rsidRPr="00000000">
        <w:rPr>
          <w:color w:val="0f1115"/>
          <w:rtl w:val="0"/>
        </w:rPr>
        <w:t xml:space="preserve"> No se eliminaron outliers porque los valores extremos de glucosa (&gt;200 mg/dL) corresponden a diabetes no controlada, clínicamente relevante; IQR es más robusto que percentiles en datasets pequeños (5,110 registros);  factor 1.5 es el estándar estadístico.</w:t>
      </w:r>
    </w:p>
    <w:p w:rsidR="00000000" w:rsidDel="00000000" w:rsidP="00000000" w:rsidRDefault="00000000" w:rsidRPr="00000000" w14:paraId="000000A6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heading=h.ck22ochxn09q" w:id="24"/>
      <w:bookmarkEnd w:id="2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Arquitectura del Pipeline</w:t>
      </w:r>
    </w:p>
    <w:p w:rsidR="00000000" w:rsidDel="00000000" w:rsidP="00000000" w:rsidRDefault="00000000" w:rsidRPr="00000000" w14:paraId="000000A7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3ckfqdjx1z9y" w:id="25"/>
      <w:bookmarkEnd w:id="2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 Diagrama del Pipeline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El flujo completo de preprocesamiento se muestra en el siguiente diagrama:</w:t>
      </w:r>
    </w:p>
    <w:p w:rsidR="00000000" w:rsidDel="00000000" w:rsidP="00000000" w:rsidRDefault="00000000" w:rsidRPr="00000000" w14:paraId="000000A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32622" cy="2752673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2622" cy="2752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p8jx88jjs4xp" w:id="26"/>
      <w:bookmarkEnd w:id="2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4.2. Componentes del Pipeline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El pipeline se construyó utilizando Pipeline y </w:t>
      </w:r>
      <w:r w:rsidDel="00000000" w:rsidR="00000000" w:rsidRPr="00000000">
        <w:rPr>
          <w:i w:val="1"/>
          <w:iCs w:val="1"/>
          <w:rtl w:val="0"/>
        </w:rPr>
        <w:t xml:space="preserve">ColumnTransformer </w:t>
      </w:r>
      <w:r w:rsidDel="00000000" w:rsidR="00000000" w:rsidRPr="00000000">
        <w:rPr>
          <w:rtl w:val="0"/>
        </w:rPr>
        <w:t xml:space="preserve">de Scikit-Learn, lo que permite: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Reproducibilidad:</w:t>
      </w:r>
      <w:r w:rsidDel="00000000" w:rsidR="00000000" w:rsidRPr="00000000">
        <w:rPr>
          <w:rtl w:val="0"/>
        </w:rPr>
        <w:t xml:space="preserve"> Todo el flujo se ejecuta con una sola llamada a fit_transform().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Prevención de fuga de datos:</w:t>
      </w:r>
      <w:r w:rsidDel="00000000" w:rsidR="00000000" w:rsidRPr="00000000">
        <w:rPr>
          <w:rtl w:val="0"/>
        </w:rPr>
        <w:t xml:space="preserve"> Los parámetros (medianas, límites de capping, escalas) se aprenden solo del conjunto de entrenamiento.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Modularidad:</w:t>
      </w:r>
      <w:r w:rsidDel="00000000" w:rsidR="00000000" w:rsidRPr="00000000">
        <w:rPr>
          <w:rtl w:val="0"/>
        </w:rPr>
        <w:t xml:space="preserve"> Cada transformer es independiente y reutilizable.</w:t>
      </w:r>
    </w:p>
    <w:p w:rsidR="00000000" w:rsidDel="00000000" w:rsidP="00000000" w:rsidRDefault="00000000" w:rsidRPr="00000000" w14:paraId="000000AF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f6cjhlc75bj3" w:id="27"/>
      <w:bookmarkEnd w:id="2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4.3. Justificación de la Elección del Pipeline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La arquitectura basada en Pipeline de Scikit-Learn fue seleccionada por: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Compatibilidad nativa:</w:t>
      </w:r>
      <w:r w:rsidDel="00000000" w:rsidR="00000000" w:rsidRPr="00000000">
        <w:rPr>
          <w:rtl w:val="0"/>
        </w:rPr>
        <w:t xml:space="preserve"> Se integra con validación cruzada, búsqueda de hiperparámetros y el ecosistema sklearn.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Prevención de data leakage:</w:t>
      </w:r>
      <w:r w:rsidDel="00000000" w:rsidR="00000000" w:rsidRPr="00000000">
        <w:rPr>
          <w:rtl w:val="0"/>
        </w:rPr>
        <w:t xml:space="preserve"> Garantiza que transformaciones como StandardScaler o OutlierCapper se ajusten exclusivamente con datos de entrenamiento, evitando la contaminación del conjunto de prueba.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Estandarización profesional</w:t>
      </w:r>
      <w:r w:rsidDel="00000000" w:rsidR="00000000" w:rsidRPr="00000000">
        <w:rPr>
          <w:rtl w:val="0"/>
        </w:rPr>
        <w:t xml:space="preserve">: Es el enfoque utilizado en entornos productivos de Machine Learning.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Facilidad de mantenimiento:</w:t>
      </w:r>
      <w:r w:rsidDel="00000000" w:rsidR="00000000" w:rsidRPr="00000000">
        <w:rPr>
          <w:rtl w:val="0"/>
        </w:rPr>
        <w:t xml:space="preserve"> Cada etapa es modular, reemplazable y testeable individualmente.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Detección dinámica de columnas: </w:t>
      </w:r>
      <w:r w:rsidDel="00000000" w:rsidR="00000000" w:rsidRPr="00000000">
        <w:rPr>
          <w:rtl w:val="0"/>
        </w:rPr>
        <w:t xml:space="preserve">make_column_selector identifica automáticamente variables numéricas y categóricas, eliminando la necesidad de especificarlas manualmente.</w:t>
      </w:r>
    </w:p>
    <w:p w:rsidR="00000000" w:rsidDel="00000000" w:rsidP="00000000" w:rsidRDefault="00000000" w:rsidRPr="00000000" w14:paraId="000000B6">
      <w:pPr>
        <w:pStyle w:val="Heading1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</w:rPr>
      </w:pPr>
      <w:bookmarkStart w:colFirst="0" w:colLast="0" w:name="_heading=h.4ic8szz9lcg" w:id="28"/>
      <w:bookmarkEnd w:id="2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MODELADO SUPERVISADO (FASE 2)</w:t>
      </w:r>
    </w:p>
    <w:p w:rsidR="00000000" w:rsidDel="00000000" w:rsidP="00000000" w:rsidRDefault="00000000" w:rsidRPr="00000000" w14:paraId="000000B7">
      <w:pPr>
        <w:pStyle w:val="Heading2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gfp6ifbhfl4q" w:id="29"/>
      <w:bookmarkEnd w:id="2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5.1. Metodología de Modelado</w:t>
      </w:r>
    </w:p>
    <w:p w:rsidR="00000000" w:rsidDel="00000000" w:rsidP="00000000" w:rsidRDefault="00000000" w:rsidRPr="00000000" w14:paraId="000000B8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Se implementó una arquitectura de pipeline con validación cruzada estratificada para controlar sesgo por desbalance y mantener consistencia en preprocesamiento y entrenamiento. Los modelos evaluados fueron:</w:t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Logistic Regression</w:t>
      </w:r>
    </w:p>
    <w:p w:rsidR="00000000" w:rsidDel="00000000" w:rsidP="00000000" w:rsidRDefault="00000000" w:rsidRPr="00000000" w14:paraId="000000BA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SVC (Support Vector Classifier)</w:t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0BC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La comparación de modelos se realizó mediante métricas de clasificación con énfasis en </w:t>
      </w:r>
      <w:r w:rsidDel="00000000" w:rsidR="00000000" w:rsidRPr="00000000">
        <w:rPr>
          <w:shd w:fill="ebeef2" w:val="clear"/>
          <w:rtl w:val="0"/>
        </w:rPr>
        <w:t xml:space="preserve">Recall</w:t>
      </w:r>
      <w:r w:rsidDel="00000000" w:rsidR="00000000" w:rsidRPr="00000000">
        <w:rPr>
          <w:rtl w:val="0"/>
        </w:rPr>
        <w:t xml:space="preserve"> positivo, </w:t>
      </w:r>
      <w:r w:rsidDel="00000000" w:rsidR="00000000" w:rsidRPr="00000000">
        <w:rPr>
          <w:shd w:fill="ebeef2" w:val="clear"/>
          <w:rtl w:val="0"/>
        </w:rPr>
        <w:t xml:space="preserve">F1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shd w:fill="ebeef2" w:val="clear"/>
          <w:rtl w:val="0"/>
        </w:rPr>
        <w:t xml:space="preserve">ROC-AUC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pStyle w:val="Heading2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374lmbgd47i" w:id="30"/>
      <w:bookmarkEnd w:id="3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5.2. Optimización de Hiperparámetros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Para cumplir con los criterios de rúbrica, se aplicaron dos enfoques de optimización: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GridSearchCV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RandomizedSearchCV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Como extensión metodológica, se incluyó optimización con Optuna en la capa operativa por fases, con evidencia en:</w:t>
      </w:r>
    </w:p>
    <w:p w:rsidR="00000000" w:rsidDel="00000000" w:rsidP="00000000" w:rsidRDefault="00000000" w:rsidRPr="00000000" w14:paraId="000000C2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models/best_params.json</w:t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models/optuna_study.csv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Mejor configuración registrada:</w:t>
      </w:r>
    </w:p>
    <w:tbl>
      <w:tblPr>
        <w:tblStyle w:val="Table3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84.151595744681"/>
        <w:gridCol w:w="4853.848404255319"/>
        <w:tblGridChange w:id="0">
          <w:tblGrid>
            <w:gridCol w:w="3984.151595744681"/>
            <w:gridCol w:w="4853.848404255319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ind w:left="141.73228346456688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ind w:left="141.73228346456688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Logistic Regression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ind w:left="141.73228346456688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solver=liblinear, penalty=l2, C=0.0010907785690006091, class_weight=balanced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ind w:left="141.73228346456688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búsqueda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OptunaStudy</w:t>
            </w:r>
          </w:p>
        </w:tc>
      </w:tr>
    </w:tbl>
    <w:p w:rsidR="00000000" w:rsidDel="00000000" w:rsidP="00000000" w:rsidRDefault="00000000" w:rsidRPr="00000000" w14:paraId="000000CD">
      <w:pPr>
        <w:pStyle w:val="Heading2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qyjvj4xg25pp" w:id="31"/>
      <w:bookmarkEnd w:id="3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5.3. Resultados Cuantitativos (Holdout Tuned)</w:t>
      </w:r>
    </w:p>
    <w:p w:rsidR="00000000" w:rsidDel="00000000" w:rsidP="00000000" w:rsidRDefault="00000000" w:rsidRPr="00000000" w14:paraId="000000CE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Resultados de </w:t>
      </w:r>
      <w:r w:rsidDel="00000000" w:rsidR="00000000" w:rsidRPr="00000000">
        <w:rPr>
          <w:shd w:fill="ebeef2" w:val="clear"/>
          <w:rtl w:val="0"/>
        </w:rPr>
        <w:t xml:space="preserve">results/metrics/tuned_holdout_metrics.csv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4"/>
        <w:tblW w:w="8838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3.6216216216217"/>
        <w:gridCol w:w="1751.6756756756758"/>
        <w:gridCol w:w="1751.6756756756758"/>
        <w:gridCol w:w="1751.6756756756758"/>
        <w:gridCol w:w="1539.3513513513515"/>
        <w:tblGridChange w:id="0">
          <w:tblGrid>
            <w:gridCol w:w="2043.6216216216217"/>
            <w:gridCol w:w="1751.6756756756758"/>
            <w:gridCol w:w="1751.6756756756758"/>
            <w:gridCol w:w="1751.6756756756758"/>
            <w:gridCol w:w="1539.351351351351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391.30434782608694" w:lineRule="auto"/>
              <w:ind w:left="141.73228346456688" w:firstLine="0"/>
              <w:rPr>
                <w:b w:val="1"/>
                <w:bCs w:val="1"/>
                <w:color w:val="0f1115"/>
              </w:rPr>
            </w:pPr>
            <w:r w:rsidDel="00000000" w:rsidR="00000000" w:rsidRPr="00000000">
              <w:rPr>
                <w:b w:val="1"/>
                <w:bCs w:val="1"/>
                <w:color w:val="0f1115"/>
                <w:rtl w:val="0"/>
              </w:rPr>
              <w:t xml:space="preserve">Modelo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391.30434782608694" w:lineRule="auto"/>
              <w:ind w:left="141.73228346456688" w:firstLine="0"/>
              <w:rPr>
                <w:b w:val="1"/>
                <w:bCs w:val="1"/>
                <w:color w:val="0f1115"/>
              </w:rPr>
            </w:pPr>
            <w:r w:rsidDel="00000000" w:rsidR="00000000" w:rsidRPr="00000000">
              <w:rPr>
                <w:b w:val="1"/>
                <w:bCs w:val="1"/>
                <w:color w:val="0f1115"/>
                <w:rtl w:val="0"/>
              </w:rPr>
              <w:t xml:space="preserve">Método de búsqueda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391.30434782608694" w:lineRule="auto"/>
              <w:ind w:left="141.73228346456688" w:firstLine="0"/>
              <w:rPr>
                <w:b w:val="1"/>
                <w:bCs w:val="1"/>
                <w:color w:val="0f1115"/>
              </w:rPr>
            </w:pPr>
            <w:r w:rsidDel="00000000" w:rsidR="00000000" w:rsidRPr="00000000">
              <w:rPr>
                <w:b w:val="1"/>
                <w:bCs w:val="1"/>
                <w:color w:val="0f1115"/>
                <w:rtl w:val="0"/>
              </w:rPr>
              <w:t xml:space="preserve">Recall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391.30434782608694" w:lineRule="auto"/>
              <w:ind w:left="141.73228346456688" w:firstLine="0"/>
              <w:rPr>
                <w:b w:val="1"/>
                <w:bCs w:val="1"/>
                <w:color w:val="0f1115"/>
              </w:rPr>
            </w:pPr>
            <w:r w:rsidDel="00000000" w:rsidR="00000000" w:rsidRPr="00000000">
              <w:rPr>
                <w:b w:val="1"/>
                <w:bCs w:val="1"/>
                <w:color w:val="0f1115"/>
                <w:rtl w:val="0"/>
              </w:rPr>
              <w:t xml:space="preserve">ROC-AUC</w:t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391.30434782608694" w:lineRule="auto"/>
              <w:ind w:left="141.73228346456688" w:firstLine="0"/>
              <w:rPr>
                <w:b w:val="1"/>
                <w:bCs w:val="1"/>
                <w:color w:val="0f1115"/>
              </w:rPr>
            </w:pPr>
            <w:r w:rsidDel="00000000" w:rsidR="00000000" w:rsidRPr="00000000">
              <w:rPr>
                <w:b w:val="1"/>
                <w:bCs w:val="1"/>
                <w:color w:val="0f1115"/>
                <w:rtl w:val="0"/>
              </w:rPr>
              <w:t xml:space="preserve">Parámetros clave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="391.30434782608694" w:lineRule="auto"/>
              <w:ind w:left="141.73228346456688" w:firstLine="0"/>
              <w:rPr>
                <w:b w:val="1"/>
                <w:bCs w:val="1"/>
                <w:color w:val="0f1115"/>
              </w:rPr>
            </w:pPr>
            <w:r w:rsidDel="00000000" w:rsidR="00000000" w:rsidRPr="00000000">
              <w:rPr>
                <w:b w:val="1"/>
                <w:bCs w:val="1"/>
                <w:color w:val="0f1115"/>
                <w:rtl w:val="0"/>
              </w:rPr>
              <w:t xml:space="preserve">Logistic Regression</w:t>
            </w:r>
          </w:p>
        </w:tc>
        <w:tc>
          <w:tcPr>
            <w:tcBorders>
              <w:top w:color="000000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391.30434782608694" w:lineRule="auto"/>
              <w:ind w:left="141.73228346456688" w:firstLine="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GridSearchCV</w:t>
            </w:r>
          </w:p>
        </w:tc>
        <w:tc>
          <w:tcPr>
            <w:tcBorders>
              <w:top w:color="000000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391.30434782608694" w:lineRule="auto"/>
              <w:ind w:left="141.73228346456688" w:firstLine="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0.8313</w:t>
            </w:r>
          </w:p>
        </w:tc>
        <w:tc>
          <w:tcPr>
            <w:tcBorders>
              <w:top w:color="000000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391.30434782608694" w:lineRule="auto"/>
              <w:ind w:left="141.73228346456688" w:firstLine="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0.8364</w:t>
            </w:r>
          </w:p>
        </w:tc>
        <w:tc>
          <w:tcPr>
            <w:tcBorders>
              <w:top w:color="000000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391.30434782608694" w:lineRule="auto"/>
              <w:ind w:left="141.73228346456688" w:firstLine="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C=0.01, class_weight=balanced, penalty=l2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391.30434782608694" w:lineRule="auto"/>
              <w:ind w:left="141.73228346456688" w:firstLine="0"/>
              <w:rPr>
                <w:b w:val="1"/>
                <w:bCs w:val="1"/>
                <w:color w:val="0f1115"/>
              </w:rPr>
            </w:pPr>
            <w:r w:rsidDel="00000000" w:rsidR="00000000" w:rsidRPr="00000000">
              <w:rPr>
                <w:b w:val="1"/>
                <w:bCs w:val="1"/>
                <w:color w:val="0f1115"/>
                <w:rtl w:val="0"/>
              </w:rPr>
              <w:t xml:space="preserve">SVC</w:t>
            </w:r>
          </w:p>
        </w:tc>
        <w:tc>
          <w:tcPr>
            <w:tcBorders>
              <w:top w:color="000000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391.30434782608694" w:lineRule="auto"/>
              <w:ind w:left="141.73228346456688" w:firstLine="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RandomizedSearchCV</w:t>
            </w:r>
          </w:p>
        </w:tc>
        <w:tc>
          <w:tcPr>
            <w:tcBorders>
              <w:top w:color="000000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391.30434782608694" w:lineRule="auto"/>
              <w:ind w:left="141.73228346456688" w:firstLine="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0.8112</w:t>
            </w:r>
          </w:p>
        </w:tc>
        <w:tc>
          <w:tcPr>
            <w:tcBorders>
              <w:top w:color="000000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391.30434782608694" w:lineRule="auto"/>
              <w:ind w:left="141.73228346456688" w:firstLine="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0.8290</w:t>
            </w:r>
          </w:p>
        </w:tc>
        <w:tc>
          <w:tcPr>
            <w:tcBorders>
              <w:top w:color="000000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391.30434782608694" w:lineRule="auto"/>
              <w:ind w:left="141.73228346456688" w:firstLine="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kernel=rbf, C=1, class_weight=balanced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="391.30434782608694" w:lineRule="auto"/>
              <w:ind w:left="141.73228346456688" w:firstLine="0"/>
              <w:rPr>
                <w:b w:val="1"/>
                <w:bCs w:val="1"/>
                <w:color w:val="0f1115"/>
              </w:rPr>
            </w:pPr>
            <w:r w:rsidDel="00000000" w:rsidR="00000000" w:rsidRPr="00000000">
              <w:rPr>
                <w:b w:val="1"/>
                <w:bCs w:val="1"/>
                <w:color w:val="0f1115"/>
                <w:rtl w:val="0"/>
              </w:rPr>
              <w:t xml:space="preserve">Random Forest</w:t>
            </w:r>
          </w:p>
        </w:tc>
        <w:tc>
          <w:tcPr>
            <w:tcBorders>
              <w:top w:color="000000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="391.30434782608694" w:lineRule="auto"/>
              <w:ind w:left="141.73228346456688" w:firstLine="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RandomizedSearchCV</w:t>
            </w:r>
          </w:p>
        </w:tc>
        <w:tc>
          <w:tcPr>
            <w:tcBorders>
              <w:top w:color="000000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391.30434782608694" w:lineRule="auto"/>
              <w:ind w:left="141.73228346456688" w:firstLine="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0.7631</w:t>
            </w:r>
          </w:p>
        </w:tc>
        <w:tc>
          <w:tcPr>
            <w:tcBorders>
              <w:top w:color="000000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391.30434782608694" w:lineRule="auto"/>
              <w:ind w:left="141.73228346456688" w:firstLine="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0.8260</w:t>
            </w:r>
          </w:p>
        </w:tc>
        <w:tc>
          <w:tcPr>
            <w:tcBorders>
              <w:top w:color="000000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391.30434782608694" w:lineRule="auto"/>
              <w:ind w:left="141.73228346456688" w:firstLine="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n_estimators=200, max_depth=5</w:t>
            </w:r>
          </w:p>
        </w:tc>
      </w:tr>
    </w:tbl>
    <w:p w:rsidR="00000000" w:rsidDel="00000000" w:rsidP="00000000" w:rsidRDefault="00000000" w:rsidRPr="00000000" w14:paraId="000000E3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Interpretación técnica:</w:t>
      </w:r>
    </w:p>
    <w:p w:rsidR="00000000" w:rsidDel="00000000" w:rsidP="00000000" w:rsidRDefault="00000000" w:rsidRPr="00000000" w14:paraId="000000E4">
      <w:pPr>
        <w:numPr>
          <w:ilvl w:val="0"/>
          <w:numId w:val="21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Logistic Regression balanceada presenta el mejor rendimiento global para el objetivo de screening, liderando en recall y AUC.</w:t>
      </w:r>
    </w:p>
    <w:p w:rsidR="00000000" w:rsidDel="00000000" w:rsidP="00000000" w:rsidRDefault="00000000" w:rsidRPr="00000000" w14:paraId="000000E5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El enfoque favorece detección de positivos, aceptando mayor costo en falsos positivos.</w:t>
      </w:r>
    </w:p>
    <w:p w:rsidR="00000000" w:rsidDel="00000000" w:rsidP="00000000" w:rsidRDefault="00000000" w:rsidRPr="00000000" w14:paraId="000000E6">
      <w:pPr>
        <w:numPr>
          <w:ilvl w:val="0"/>
          <w:numId w:val="21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El comportamiento observado es coherente con el desbalance estructural del dataset.</w:t>
      </w:r>
    </w:p>
    <w:p w:rsidR="00000000" w:rsidDel="00000000" w:rsidP="00000000" w:rsidRDefault="00000000" w:rsidRPr="00000000" w14:paraId="000000E7">
      <w:pPr>
        <w:shd w:fill="ffffff" w:val="clear"/>
        <w:spacing w:after="240" w:before="340" w:lineRule="auto"/>
        <w:rPr/>
      </w:pPr>
      <w:r w:rsidDel="00000000" w:rsidR="00000000" w:rsidRPr="00000000">
        <w:rPr/>
        <w:drawing>
          <wp:inline distB="114300" distT="114300" distL="114300" distR="114300">
            <wp:extent cx="5612130" cy="33147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240" w:before="340" w:lineRule="auto"/>
        <w:rPr/>
      </w:pPr>
      <w:r w:rsidDel="00000000" w:rsidR="00000000" w:rsidRPr="00000000">
        <w:rPr/>
        <w:drawing>
          <wp:inline distB="114300" distT="114300" distL="114300" distR="114300">
            <wp:extent cx="5612130" cy="21844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after="240" w:before="340" w:lineRule="auto"/>
        <w:rPr/>
      </w:pPr>
      <w:r w:rsidDel="00000000" w:rsidR="00000000" w:rsidRPr="00000000">
        <w:rPr/>
        <w:drawing>
          <wp:inline distB="114300" distT="114300" distL="114300" distR="114300">
            <wp:extent cx="5612130" cy="43307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r6jjg7q854cg" w:id="32"/>
      <w:bookmarkEnd w:id="3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5.4. Evaluación Final del Modelo Seleccionado</w:t>
      </w:r>
    </w:p>
    <w:p w:rsidR="00000000" w:rsidDel="00000000" w:rsidP="00000000" w:rsidRDefault="00000000" w:rsidRPr="00000000" w14:paraId="000000EB">
      <w:pP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Reporte final (</w:t>
      </w:r>
      <w:r w:rsidDel="00000000" w:rsidR="00000000" w:rsidRPr="00000000">
        <w:rPr>
          <w:b w:val="1"/>
          <w:bCs w:val="1"/>
          <w:shd w:fill="ebeef2" w:val="clear"/>
          <w:rtl w:val="0"/>
        </w:rPr>
        <w:t xml:space="preserve">reports/evaluation_results.md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tbl>
      <w:tblPr>
        <w:tblStyle w:val="Table5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23.75"/>
        <w:gridCol w:w="3314.25"/>
        <w:tblGridChange w:id="0">
          <w:tblGrid>
            <w:gridCol w:w="5523.75"/>
            <w:gridCol w:w="3314.2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before="0" w:line="391.30434782608694" w:lineRule="auto"/>
              <w:ind w:left="141.73228346456688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before="0" w:line="391.30434782608694" w:lineRule="auto"/>
              <w:ind w:left="141.73228346456688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before="0" w:line="391.30434782608694" w:lineRule="auto"/>
              <w:ind w:left="141.73228346456688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 (clase positiva)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before="0" w:line="391.30434782608694" w:lineRule="auto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0.1102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before="0" w:line="391.30434782608694" w:lineRule="auto"/>
              <w:ind w:left="141.73228346456688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 (clase positiva)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before="0" w:line="391.30434782608694" w:lineRule="auto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0.8200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before="0" w:line="391.30434782608694" w:lineRule="auto"/>
              <w:ind w:left="141.73228346456688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 (clase positiva)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before="0" w:line="391.30434782608694" w:lineRule="auto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0.1943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before="0" w:line="391.30434782608694" w:lineRule="auto"/>
              <w:ind w:left="141.73228346456688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ROC-AUC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0" w:line="391.30434782608694" w:lineRule="auto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0.8369</w:t>
            </w:r>
          </w:p>
        </w:tc>
      </w:tr>
    </w:tbl>
    <w:p w:rsidR="00000000" w:rsidDel="00000000" w:rsidP="00000000" w:rsidRDefault="00000000" w:rsidRPr="00000000" w14:paraId="000000F6">
      <w:pPr>
        <w:shd w:fill="ffffff" w:val="clear"/>
        <w:spacing w:after="0" w:before="0" w:lineRule="auto"/>
        <w:ind w:left="141.732283464566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after="0" w:before="0" w:lineRule="auto"/>
        <w:ind w:left="141.7322834645668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Matriz de confusión: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8.5744680851067"/>
        <w:gridCol w:w="3420.0239361702133"/>
        <w:gridCol w:w="2879.401595744681"/>
        <w:tblGridChange w:id="0">
          <w:tblGrid>
            <w:gridCol w:w="2538.5744680851067"/>
            <w:gridCol w:w="3420.0239361702133"/>
            <w:gridCol w:w="2879.401595744681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before="0" w:line="391.30434782608694" w:lineRule="auto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before="0" w:line="391.30434782608694" w:lineRule="auto"/>
              <w:ind w:left="141.73228346456688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Predicho No ACV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before="0" w:line="391.30434782608694" w:lineRule="auto"/>
              <w:ind w:left="141.73228346456688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Predicho ACV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before="0" w:line="391.30434782608694" w:lineRule="auto"/>
              <w:ind w:left="141.73228346456688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 No ACV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before="0" w:line="391.30434782608694" w:lineRule="auto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TN = 641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0" w:line="391.30434782608694" w:lineRule="auto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FP = 331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0" w:line="391.30434782608694" w:lineRule="auto"/>
              <w:ind w:left="141.73228346456688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 ACV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before="0" w:line="391.30434782608694" w:lineRule="auto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FN = 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before="0" w:line="391.30434782608694" w:lineRule="auto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TP = 41</w:t>
            </w:r>
          </w:p>
        </w:tc>
      </w:tr>
    </w:tbl>
    <w:p w:rsidR="00000000" w:rsidDel="00000000" w:rsidP="00000000" w:rsidRDefault="00000000" w:rsidRPr="00000000" w14:paraId="00000102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Lectura de negocio/clínica:</w:t>
      </w:r>
    </w:p>
    <w:p w:rsidR="00000000" w:rsidDel="00000000" w:rsidP="00000000" w:rsidRDefault="00000000" w:rsidRPr="00000000" w14:paraId="00000103">
      <w:pPr>
        <w:numPr>
          <w:ilvl w:val="0"/>
          <w:numId w:val="26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El modelo reduce significativamente los falsos negativos (FN = 9), que son el error más crítico para un escenario de detección temprana.</w:t>
      </w:r>
    </w:p>
    <w:p w:rsidR="00000000" w:rsidDel="00000000" w:rsidP="00000000" w:rsidRDefault="00000000" w:rsidRPr="00000000" w14:paraId="00000104">
      <w:pPr>
        <w:numPr>
          <w:ilvl w:val="0"/>
          <w:numId w:val="26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El costo es un número elevado de falsos positivos (FP = 331), por lo que el modelo debe utilizarse como apoyo de tamizaje y no como diagnóstico único.</w:t>
      </w:r>
    </w:p>
    <w:p w:rsidR="00000000" w:rsidDel="00000000" w:rsidP="00000000" w:rsidRDefault="00000000" w:rsidRPr="00000000" w14:paraId="00000105">
      <w:pPr>
        <w:shd w:fill="ffffff" w:val="clear"/>
        <w:spacing w:after="240" w:before="3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612130" cy="4356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240" w:before="3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612130" cy="4356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pa53n1kn05a3" w:id="33"/>
      <w:bookmarkEnd w:id="3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5.5. Interpretabilidad</w:t>
      </w:r>
    </w:p>
    <w:p w:rsidR="00000000" w:rsidDel="00000000" w:rsidP="00000000" w:rsidRDefault="00000000" w:rsidRPr="00000000" w14:paraId="00000108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Se incorporó interpretabilidad basada en importancia de variables:</w:t>
      </w:r>
    </w:p>
    <w:p w:rsidR="00000000" w:rsidDel="00000000" w:rsidP="00000000" w:rsidRDefault="00000000" w:rsidRPr="00000000" w14:paraId="00000109">
      <w:pPr>
        <w:numPr>
          <w:ilvl w:val="0"/>
          <w:numId w:val="2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Evidencia: </w:t>
      </w:r>
      <w:r w:rsidDel="00000000" w:rsidR="00000000" w:rsidRPr="00000000">
        <w:rPr>
          <w:shd w:fill="ebeef2" w:val="clear"/>
          <w:rtl w:val="0"/>
        </w:rPr>
        <w:t xml:space="preserve">reports/feature_importance.csv</w:t>
      </w:r>
    </w:p>
    <w:p w:rsidR="00000000" w:rsidDel="00000000" w:rsidP="00000000" w:rsidRDefault="00000000" w:rsidRPr="00000000" w14:paraId="0000010A">
      <w:pPr>
        <w:numPr>
          <w:ilvl w:val="0"/>
          <w:numId w:val="2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Reporte integrado: </w:t>
      </w:r>
      <w:r w:rsidDel="00000000" w:rsidR="00000000" w:rsidRPr="00000000">
        <w:rPr>
          <w:shd w:fill="ebeef2" w:val="clear"/>
          <w:rtl w:val="0"/>
        </w:rPr>
        <w:t xml:space="preserve">reports/evaluation_results.md</w:t>
      </w:r>
    </w:p>
    <w:p w:rsidR="00000000" w:rsidDel="00000000" w:rsidP="00000000" w:rsidRDefault="00000000" w:rsidRPr="00000000" w14:paraId="0000010B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Adicionalmente, se consideró SHAP como mecanismo opcional dependiente del entorno. En la corrida validada, SHAP no estuvo disponible y se documentó explícitamente.</w:t>
      </w:r>
    </w:p>
    <w:p w:rsidR="00000000" w:rsidDel="00000000" w:rsidP="00000000" w:rsidRDefault="00000000" w:rsidRPr="00000000" w14:paraId="0000010C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heading=h.vx27qdccekzk" w:id="34"/>
      <w:bookmarkEnd w:id="3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CONCLUSIONES Y TRABAJOS FUTUROS</w:t>
      </w:r>
    </w:p>
    <w:p w:rsidR="00000000" w:rsidDel="00000000" w:rsidP="00000000" w:rsidRDefault="00000000" w:rsidRPr="00000000" w14:paraId="0000010D">
      <w:pPr>
        <w:pStyle w:val="Heading2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p21q0p4zexgk" w:id="35"/>
      <w:bookmarkEnd w:id="3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6.1. Hallazgos Clave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Desbalance severo: Solo el 4.9% de los casos son positivos para ACV, lo que invalida el uso de accuracy como métrica y exige técnicas de balanceo en el modelado.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Edad como factor predominante: La edad presenta la correlación más alta con ACV (0.25). La incidencia aumenta drásticamente después de los 60 años.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Diabetes como predictor clave: Niveles elevados de glucosa (&gt;200 mg/dL) muestran asociación clara con ACV, identificando a la diabetes como factor de riesgo independiente.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Limpieza exitosa: Se imputaron 201 nulos (100%), se capearon 147 outliers en glucosa y 203 en BMI mediante IQR, y se eliminó la variable "id" por falta de valor predictivo.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Modelo óptimo: Logistic Regression balanceada es el modelo más defendible para screening inicial de ACV en este contexto de desbalance, logrando un recall del 82% en holdout.</w:t>
      </w:r>
    </w:p>
    <w:p w:rsidR="00000000" w:rsidDel="00000000" w:rsidP="00000000" w:rsidRDefault="00000000" w:rsidRPr="00000000" w14:paraId="00000113">
      <w:pPr>
        <w:pStyle w:val="Heading2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gzt21h78ojiu" w:id="36"/>
      <w:bookmarkEnd w:id="3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6.2. Dificultades Encontradas</w:t>
      </w:r>
    </w:p>
    <w:p w:rsidR="00000000" w:rsidDel="00000000" w:rsidP="00000000" w:rsidRDefault="00000000" w:rsidRPr="00000000" w14:paraId="00000114">
      <w:pPr>
        <w:numPr>
          <w:ilvl w:val="0"/>
          <w:numId w:val="25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Valores "Unknown" no detectables: Los strings en smoking_status no eran identificados por isnull(), requiriendo un transformer específico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(UnknownToNaNTransformer)</w:t>
      </w:r>
      <w:r w:rsidDel="00000000" w:rsidR="00000000" w:rsidRPr="00000000">
        <w:rPr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5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Ajuste del método de capping: El uso inicial de percentiles no funcionaba en un dataset pequeño (5,110 registros), migrando al método IQR, más robusto.</w:t>
      </w:r>
    </w:p>
    <w:p w:rsidR="00000000" w:rsidDel="00000000" w:rsidP="00000000" w:rsidRDefault="00000000" w:rsidRPr="00000000" w14:paraId="00000116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Desbalance extremo: Con solo 249 casos positivos, un modelo trivial predeciría "No ACV" con 95.1% de precisión, enmascarando su inutilidad clínica.</w:t>
      </w:r>
    </w:p>
    <w:p w:rsidR="00000000" w:rsidDel="00000000" w:rsidP="00000000" w:rsidRDefault="00000000" w:rsidRPr="00000000" w14:paraId="00000117">
      <w:pPr>
        <w:numPr>
          <w:ilvl w:val="0"/>
          <w:numId w:val="25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Inconsistencia de permisos en venv: Se detectó esta inconsistencia; el entorno funcional validado fue </w:t>
      </w:r>
      <w:r w:rsidDel="00000000" w:rsidR="00000000" w:rsidRPr="00000000">
        <w:rPr>
          <w:color w:val="0f1115"/>
          <w:shd w:fill="ebeef2" w:val="clear"/>
          <w:rtl w:val="0"/>
        </w:rPr>
        <w:t xml:space="preserve">.venv/</w:t>
      </w:r>
      <w:r w:rsidDel="00000000" w:rsidR="00000000" w:rsidRPr="00000000">
        <w:rPr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8">
      <w:pPr>
        <w:pStyle w:val="Heading2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4hihuua6uxv4" w:id="37"/>
      <w:bookmarkEnd w:id="3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6.3. Proyección a Machine Learning (Evaluación 2)</w:t>
      </w:r>
    </w:p>
    <w:tbl>
      <w:tblPr>
        <w:tblStyle w:val="Table7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8.476063829787"/>
        <w:gridCol w:w="5629.523936170213"/>
        <w:tblGridChange w:id="0">
          <w:tblGrid>
            <w:gridCol w:w="3208.476063829787"/>
            <w:gridCol w:w="5629.52393617021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="391.30434782608694" w:lineRule="auto"/>
              <w:ind w:left="141.73228346456688" w:firstLine="0"/>
              <w:rPr>
                <w:b w:val="1"/>
                <w:bCs w:val="1"/>
                <w:color w:val="0f1115"/>
              </w:rPr>
            </w:pPr>
            <w:r w:rsidDel="00000000" w:rsidR="00000000" w:rsidRPr="00000000">
              <w:rPr>
                <w:b w:val="1"/>
                <w:bCs w:val="1"/>
                <w:color w:val="0f1115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="391.30434782608694" w:lineRule="auto"/>
              <w:ind w:left="141.73228346456688" w:firstLine="0"/>
              <w:rPr>
                <w:b w:val="1"/>
                <w:bCs w:val="1"/>
                <w:color w:val="0f1115"/>
              </w:rPr>
            </w:pPr>
            <w:r w:rsidDel="00000000" w:rsidR="00000000" w:rsidRPr="00000000">
              <w:rPr>
                <w:b w:val="1"/>
                <w:bCs w:val="1"/>
                <w:color w:val="0f1115"/>
                <w:rtl w:val="0"/>
              </w:rPr>
              <w:t xml:space="preserve">Recomendación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line="391.30434782608694" w:lineRule="auto"/>
              <w:ind w:left="141.73228346456688" w:firstLine="0"/>
              <w:rPr>
                <w:b w:val="1"/>
                <w:bCs w:val="1"/>
                <w:color w:val="0f1115"/>
              </w:rPr>
            </w:pPr>
            <w:r w:rsidDel="00000000" w:rsidR="00000000" w:rsidRPr="00000000">
              <w:rPr>
                <w:b w:val="1"/>
                <w:bCs w:val="1"/>
                <w:color w:val="0f1115"/>
                <w:rtl w:val="0"/>
              </w:rPr>
              <w:t xml:space="preserve">Algoritmos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line="391.30434782608694" w:lineRule="auto"/>
              <w:ind w:left="141.73228346456688" w:firstLine="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Random Forest o XGBoost (manejan mejor outliers y relaciones no lineales)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="391.30434782608694" w:lineRule="auto"/>
              <w:ind w:left="141.73228346456688" w:firstLine="0"/>
              <w:rPr>
                <w:b w:val="1"/>
                <w:bCs w:val="1"/>
                <w:color w:val="0f1115"/>
              </w:rPr>
            </w:pPr>
            <w:r w:rsidDel="00000000" w:rsidR="00000000" w:rsidRPr="00000000">
              <w:rPr>
                <w:b w:val="1"/>
                <w:bCs w:val="1"/>
                <w:color w:val="0f1115"/>
                <w:rtl w:val="0"/>
              </w:rPr>
              <w:t xml:space="preserve">Balanceo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line="391.30434782608694" w:lineRule="auto"/>
              <w:ind w:left="141.73228346456688" w:firstLine="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SMOTE integrado en el pipeline (con imbalanced-learn)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line="391.30434782608694" w:lineRule="auto"/>
              <w:ind w:left="141.73228346456688" w:firstLine="0"/>
              <w:rPr>
                <w:b w:val="1"/>
                <w:bCs w:val="1"/>
                <w:color w:val="0f1115"/>
              </w:rPr>
            </w:pPr>
            <w:r w:rsidDel="00000000" w:rsidR="00000000" w:rsidRPr="00000000">
              <w:rPr>
                <w:b w:val="1"/>
                <w:bCs w:val="1"/>
                <w:color w:val="0f1115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="391.30434782608694" w:lineRule="auto"/>
              <w:ind w:left="141.73228346456688" w:firstLine="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StratifiedKFold para preservar proporción de clases (4.9%)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line="391.30434782608694" w:lineRule="auto"/>
              <w:ind w:left="141.73228346456688" w:firstLine="0"/>
              <w:rPr>
                <w:b w:val="1"/>
                <w:bCs w:val="1"/>
                <w:color w:val="0f1115"/>
              </w:rPr>
            </w:pPr>
            <w:r w:rsidDel="00000000" w:rsidR="00000000" w:rsidRPr="00000000">
              <w:rPr>
                <w:b w:val="1"/>
                <w:bCs w:val="1"/>
                <w:color w:val="0f1115"/>
                <w:rtl w:val="0"/>
              </w:rPr>
              <w:t xml:space="preserve">Métricas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="391.30434782608694" w:lineRule="auto"/>
              <w:ind w:left="141.73228346456688" w:firstLine="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Recall (prioritario), F1-Score, AUC-ROC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="391.30434782608694" w:lineRule="auto"/>
              <w:ind w:left="141.73228346456688" w:firstLine="0"/>
              <w:rPr>
                <w:b w:val="1"/>
                <w:bCs w:val="1"/>
                <w:color w:val="0f1115"/>
              </w:rPr>
            </w:pPr>
            <w:r w:rsidDel="00000000" w:rsidR="00000000" w:rsidRPr="00000000">
              <w:rPr>
                <w:b w:val="1"/>
                <w:bCs w:val="1"/>
                <w:color w:val="0f1115"/>
                <w:rtl w:val="0"/>
              </w:rPr>
              <w:t xml:space="preserve">Evitar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="391.30434782608694" w:lineRule="auto"/>
              <w:ind w:left="141.73228346456688" w:firstLine="0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Accuracy (sería engañosa: 95.1% siempre "No ACV")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pStyle w:val="Heading2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egh5bkeizvld" w:id="38"/>
      <w:bookmarkEnd w:id="3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6.4. Trabajos Futuros</w:t>
      </w:r>
    </w:p>
    <w:p w:rsidR="00000000" w:rsidDel="00000000" w:rsidP="00000000" w:rsidRDefault="00000000" w:rsidRPr="00000000" w14:paraId="00000126">
      <w:pPr>
        <w:numPr>
          <w:ilvl w:val="0"/>
          <w:numId w:val="19"/>
        </w:numPr>
        <w:shd w:fill="ffffff" w:val="clear"/>
        <w:spacing w:after="0" w:afterAutospacing="0" w:before="3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Integrar SMOTE dentro del pipeline de validación cruzada.</w:t>
      </w:r>
    </w:p>
    <w:p w:rsidR="00000000" w:rsidDel="00000000" w:rsidP="00000000" w:rsidRDefault="00000000" w:rsidRPr="00000000" w14:paraId="00000127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Aplicar SHAP/LIME para interpretabilidad local.</w:t>
      </w:r>
    </w:p>
    <w:p w:rsidR="00000000" w:rsidDel="00000000" w:rsidP="00000000" w:rsidRDefault="00000000" w:rsidRPr="00000000" w14:paraId="00000128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Desplegar modelo como API (Flask/FastAPI).</w:t>
      </w:r>
    </w:p>
    <w:p w:rsidR="00000000" w:rsidDel="00000000" w:rsidP="00000000" w:rsidRDefault="00000000" w:rsidRPr="00000000" w14:paraId="00000129">
      <w:pPr>
        <w:numPr>
          <w:ilvl w:val="0"/>
          <w:numId w:val="19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Calibrar umbral de decisión para optimizar trade-off recall/precisión según criterio operativo.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t4tg6qhfrig4" w:id="39"/>
      <w:bookmarkEnd w:id="3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6.5. Cumplimiento de Rúbrica</w:t>
      </w:r>
    </w:p>
    <w:p w:rsidR="00000000" w:rsidDel="00000000" w:rsidP="00000000" w:rsidRDefault="00000000" w:rsidRPr="00000000" w14:paraId="0000012B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El estado de cumplimiento se encuentra documentado en </w:t>
      </w:r>
      <w:r w:rsidDel="00000000" w:rsidR="00000000" w:rsidRPr="00000000">
        <w:rPr>
          <w:color w:val="0f1115"/>
          <w:shd w:fill="ebeef2" w:val="clear"/>
          <w:rtl w:val="0"/>
        </w:rPr>
        <w:t xml:space="preserve">docs/verificacion_rubrica_pdf.md</w:t>
      </w:r>
      <w:r w:rsidDel="00000000" w:rsidR="00000000" w:rsidRPr="00000000">
        <w:rPr>
          <w:color w:val="0f1115"/>
          <w:rtl w:val="0"/>
        </w:rPr>
        <w:t xml:space="preserve">, con evidencia sobre:</w:t>
      </w:r>
    </w:p>
    <w:p w:rsidR="00000000" w:rsidDel="00000000" w:rsidP="00000000" w:rsidRDefault="00000000" w:rsidRPr="00000000" w14:paraId="0000012C">
      <w:pPr>
        <w:numPr>
          <w:ilvl w:val="0"/>
          <w:numId w:val="20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Notebooks requeridos (</w:t>
      </w:r>
      <w:r w:rsidDel="00000000" w:rsidR="00000000" w:rsidRPr="00000000">
        <w:rPr>
          <w:color w:val="0f1115"/>
          <w:shd w:fill="ebeef2" w:val="clear"/>
          <w:rtl w:val="0"/>
        </w:rPr>
        <w:t xml:space="preserve">01</w:t>
      </w:r>
      <w:r w:rsidDel="00000000" w:rsidR="00000000" w:rsidRPr="00000000">
        <w:rPr>
          <w:color w:val="0f1115"/>
          <w:rtl w:val="0"/>
        </w:rPr>
        <w:t xml:space="preserve"> a </w:t>
      </w:r>
      <w:r w:rsidDel="00000000" w:rsidR="00000000" w:rsidRPr="00000000">
        <w:rPr>
          <w:color w:val="0f1115"/>
          <w:shd w:fill="ebeef2" w:val="clear"/>
          <w:rtl w:val="0"/>
        </w:rPr>
        <w:t xml:space="preserve">05</w:t>
      </w:r>
      <w:r w:rsidDel="00000000" w:rsidR="00000000" w:rsidRPr="00000000">
        <w:rPr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2D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Módulos oficiales en </w:t>
      </w:r>
      <w:r w:rsidDel="00000000" w:rsidR="00000000" w:rsidRPr="00000000">
        <w:rPr>
          <w:color w:val="0f1115"/>
          <w:shd w:fill="ebeef2" w:val="clear"/>
          <w:rtl w:val="0"/>
        </w:rPr>
        <w:t xml:space="preserve">src/</w:t>
      </w:r>
      <w:r w:rsidDel="00000000" w:rsidR="00000000" w:rsidRPr="00000000">
        <w:rPr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2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color w:val="0f1115"/>
          <w:shd w:fill="ebeef2" w:val="clear"/>
          <w:rtl w:val="0"/>
        </w:rPr>
        <w:t xml:space="preserve">data_preprocessing.py</w:t>
      </w:r>
    </w:p>
    <w:p w:rsidR="00000000" w:rsidDel="00000000" w:rsidP="00000000" w:rsidRDefault="00000000" w:rsidRPr="00000000" w14:paraId="0000012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color w:val="0f1115"/>
          <w:shd w:fill="ebeef2" w:val="clear"/>
          <w:rtl w:val="0"/>
        </w:rPr>
        <w:t xml:space="preserve">model_training.py</w:t>
      </w:r>
    </w:p>
    <w:p w:rsidR="00000000" w:rsidDel="00000000" w:rsidP="00000000" w:rsidRDefault="00000000" w:rsidRPr="00000000" w14:paraId="0000013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color w:val="0f1115"/>
          <w:shd w:fill="ebeef2" w:val="clear"/>
          <w:rtl w:val="0"/>
        </w:rPr>
        <w:t xml:space="preserve">model_evaluation.py</w:t>
      </w:r>
    </w:p>
    <w:p w:rsidR="00000000" w:rsidDel="00000000" w:rsidP="00000000" w:rsidRDefault="00000000" w:rsidRPr="00000000" w14:paraId="0000013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color w:val="0f1115"/>
          <w:shd w:fill="ebeef2" w:val="clear"/>
          <w:rtl w:val="0"/>
        </w:rPr>
        <w:t xml:space="preserve">hyperparameter_tuning.py</w:t>
      </w:r>
    </w:p>
    <w:p w:rsidR="00000000" w:rsidDel="00000000" w:rsidP="00000000" w:rsidRDefault="00000000" w:rsidRPr="00000000" w14:paraId="00000132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Modelos serializados en </w:t>
      </w:r>
      <w:r w:rsidDel="00000000" w:rsidR="00000000" w:rsidRPr="00000000">
        <w:rPr>
          <w:color w:val="0f1115"/>
          <w:shd w:fill="ebeef2" w:val="clear"/>
          <w:rtl w:val="0"/>
        </w:rPr>
        <w:t xml:space="preserve">models/trained_models/</w:t>
      </w:r>
      <w:r w:rsidDel="00000000" w:rsidR="00000000" w:rsidRPr="00000000">
        <w:rPr>
          <w:color w:val="0f1115"/>
          <w:rtl w:val="0"/>
        </w:rPr>
        <w:t xml:space="preserve"> y </w:t>
      </w:r>
      <w:r w:rsidDel="00000000" w:rsidR="00000000" w:rsidRPr="00000000">
        <w:rPr>
          <w:color w:val="0f1115"/>
          <w:shd w:fill="ebeef2" w:val="clear"/>
          <w:rtl w:val="0"/>
        </w:rPr>
        <w:t xml:space="preserve">models/</w:t>
      </w:r>
      <w:r w:rsidDel="00000000" w:rsidR="00000000" w:rsidRPr="00000000">
        <w:rPr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3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Resultados en </w:t>
      </w:r>
      <w:r w:rsidDel="00000000" w:rsidR="00000000" w:rsidRPr="00000000">
        <w:rPr>
          <w:color w:val="0f1115"/>
          <w:shd w:fill="ebeef2" w:val="clear"/>
          <w:rtl w:val="0"/>
        </w:rPr>
        <w:t xml:space="preserve">results/metrics/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color w:val="0f1115"/>
          <w:shd w:fill="ebeef2" w:val="clear"/>
          <w:rtl w:val="0"/>
        </w:rPr>
        <w:t xml:space="preserve">results/plots/</w:t>
      </w:r>
      <w:r w:rsidDel="00000000" w:rsidR="00000000" w:rsidRPr="00000000">
        <w:rPr>
          <w:color w:val="0f1115"/>
          <w:rtl w:val="0"/>
        </w:rPr>
        <w:t xml:space="preserve">, </w:t>
      </w:r>
      <w:r w:rsidDel="00000000" w:rsidR="00000000" w:rsidRPr="00000000">
        <w:rPr>
          <w:color w:val="0f1115"/>
          <w:shd w:fill="ebeef2" w:val="clear"/>
          <w:rtl w:val="0"/>
        </w:rPr>
        <w:t xml:space="preserve">results/reports/</w:t>
      </w:r>
      <w:r w:rsidDel="00000000" w:rsidR="00000000" w:rsidRPr="00000000">
        <w:rPr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4">
      <w:pPr>
        <w:numPr>
          <w:ilvl w:val="0"/>
          <w:numId w:val="20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Reproducibilidad operativa del flujo.</w:t>
      </w:r>
    </w:p>
    <w:p w:rsidR="00000000" w:rsidDel="00000000" w:rsidP="00000000" w:rsidRDefault="00000000" w:rsidRPr="00000000" w14:paraId="00000135">
      <w:pPr>
        <w:shd w:fill="ffffff" w:val="clear"/>
        <w:spacing w:after="240" w:before="340" w:lineRule="auto"/>
        <w:rPr>
          <w:color w:val="0f1115"/>
        </w:rPr>
      </w:pPr>
      <w:r w:rsidDel="00000000" w:rsidR="00000000" w:rsidRPr="00000000">
        <w:rPr>
          <w:color w:val="0f1115"/>
        </w:rPr>
        <w:drawing>
          <wp:inline distB="114300" distT="114300" distL="114300" distR="114300">
            <wp:extent cx="5612130" cy="3060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after="240" w:before="340" w:lineRule="auto"/>
        <w:rPr>
          <w:color w:val="0f1115"/>
        </w:rPr>
      </w:pPr>
      <w:r w:rsidDel="00000000" w:rsidR="00000000" w:rsidRPr="00000000">
        <w:rPr>
          <w:color w:val="0f1115"/>
        </w:rPr>
        <w:drawing>
          <wp:inline distB="114300" distT="114300" distL="114300" distR="114300">
            <wp:extent cx="5612130" cy="30607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after="240" w:before="340" w:lineRule="auto"/>
        <w:rPr>
          <w:color w:val="0f1115"/>
        </w:rPr>
      </w:pPr>
      <w:r w:rsidDel="00000000" w:rsidR="00000000" w:rsidRPr="00000000">
        <w:rPr>
          <w:color w:val="0f1115"/>
        </w:rPr>
        <w:drawing>
          <wp:inline distB="114300" distT="114300" distL="114300" distR="114300">
            <wp:extent cx="5612130" cy="38100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after="240" w:before="340" w:lineRule="auto"/>
        <w:rPr>
          <w:color w:val="0f1115"/>
        </w:rPr>
      </w:pPr>
      <w:r w:rsidDel="00000000" w:rsidR="00000000" w:rsidRPr="00000000">
        <w:rPr>
          <w:color w:val="0f1115"/>
        </w:rPr>
        <w:drawing>
          <wp:inline distB="114300" distT="114300" distL="114300" distR="114300">
            <wp:extent cx="5612130" cy="15240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after="240" w:before="340" w:lineRule="auto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df2pi91xkmy" w:id="40"/>
      <w:bookmarkEnd w:id="4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6.6. Reproducibilidad</w:t>
      </w:r>
    </w:p>
    <w:p w:rsidR="00000000" w:rsidDel="00000000" w:rsidP="00000000" w:rsidRDefault="00000000" w:rsidRPr="00000000" w14:paraId="0000013B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Comando recomendado de ejecución integral:</w:t>
      </w:r>
    </w:p>
    <w:p w:rsidR="00000000" w:rsidDel="00000000" w:rsidP="00000000" w:rsidRDefault="00000000" w:rsidRPr="00000000" w14:paraId="0000013C">
      <w:pPr>
        <w:shd w:fill="ffffff" w:val="clear"/>
        <w:spacing w:after="240" w:before="240" w:lineRule="auto"/>
        <w:rPr>
          <w:color w:val="0f1115"/>
          <w:shd w:fill="ebeef2" w:val="clear"/>
        </w:rPr>
      </w:pPr>
      <w:r w:rsidDel="00000000" w:rsidR="00000000" w:rsidRPr="00000000">
        <w:rPr>
          <w:color w:val="0f1115"/>
          <w:shd w:fill="ebeef2" w:val="clear"/>
          <w:rtl w:val="0"/>
        </w:rPr>
        <w:t xml:space="preserve">python setup_and_run.py --mode run --venv-name .venv --skip-install</w:t>
      </w:r>
    </w:p>
    <w:p w:rsidR="00000000" w:rsidDel="00000000" w:rsidP="00000000" w:rsidRDefault="00000000" w:rsidRPr="00000000" w14:paraId="0000013D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Comandos de validación de estado:</w:t>
      </w:r>
    </w:p>
    <w:p w:rsidR="00000000" w:rsidDel="00000000" w:rsidP="00000000" w:rsidRDefault="00000000" w:rsidRPr="00000000" w14:paraId="0000013E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color w:val="0f1115"/>
          <w:shd w:fill="ebeef2" w:val="clear"/>
          <w:rtl w:val="0"/>
        </w:rPr>
        <w:t xml:space="preserve">python setup_and_run.py --mode status --venv-name .venv --skip-install</w:t>
      </w:r>
    </w:p>
    <w:p w:rsidR="00000000" w:rsidDel="00000000" w:rsidP="00000000" w:rsidRDefault="00000000" w:rsidRPr="00000000" w14:paraId="0000013F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color w:val="0f1115"/>
          <w:shd w:fill="ebeef2" w:val="clear"/>
          <w:rtl w:val="0"/>
        </w:rPr>
        <w:t xml:space="preserve">python setup_and_run.py --mode compat --venv-name .venv --skip-install</w:t>
      </w:r>
    </w:p>
    <w:p w:rsidR="00000000" w:rsidDel="00000000" w:rsidP="00000000" w:rsidRDefault="00000000" w:rsidRPr="00000000" w14:paraId="00000140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color w:val="0f1115"/>
          <w:shd w:fill="ebeef2" w:val="clear"/>
          <w:rtl w:val="0"/>
        </w:rPr>
        <w:t xml:space="preserve">python setup_and_run.py --mode smoke-test --venv-name .venv --skip-install</w:t>
      </w:r>
    </w:p>
    <w:p w:rsidR="00000000" w:rsidDel="00000000" w:rsidP="00000000" w:rsidRDefault="00000000" w:rsidRPr="00000000" w14:paraId="00000141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Nota operativa: Se detectó inconsistencia de permisos en </w:t>
      </w:r>
      <w:r w:rsidDel="00000000" w:rsidR="00000000" w:rsidRPr="00000000">
        <w:rPr>
          <w:color w:val="0f1115"/>
          <w:shd w:fill="ebeef2" w:val="clear"/>
          <w:rtl w:val="0"/>
        </w:rPr>
        <w:t xml:space="preserve">venv/</w:t>
      </w:r>
      <w:r w:rsidDel="00000000" w:rsidR="00000000" w:rsidRPr="00000000">
        <w:rPr>
          <w:color w:val="0f1115"/>
          <w:rtl w:val="0"/>
        </w:rPr>
        <w:t xml:space="preserve">. El entorno funcional validado para ejecución completa fue </w:t>
      </w:r>
      <w:r w:rsidDel="00000000" w:rsidR="00000000" w:rsidRPr="00000000">
        <w:rPr>
          <w:color w:val="0f1115"/>
          <w:shd w:fill="ebeef2" w:val="clear"/>
          <w:rtl w:val="0"/>
        </w:rPr>
        <w:t xml:space="preserve">.venv/</w:t>
      </w:r>
      <w:r w:rsidDel="00000000" w:rsidR="00000000" w:rsidRPr="00000000">
        <w:rPr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2">
      <w:pPr>
        <w:pStyle w:val="Heading2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2f7i2fc6bk6" w:id="41"/>
      <w:bookmarkEnd w:id="4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6.7. Conclusión Final</w:t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El proyecto cumple los elementos técnicos de la Fase 2 exigidos por rúbrica.</w:t>
      </w:r>
    </w:p>
    <w:p w:rsidR="00000000" w:rsidDel="00000000" w:rsidP="00000000" w:rsidRDefault="00000000" w:rsidRPr="00000000" w14:paraId="00000144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Logistic Regression balanceada es el modelo más defendible para screening inicial de ACV en este contexto de desbalance.</w:t>
      </w:r>
    </w:p>
    <w:p w:rsidR="00000000" w:rsidDel="00000000" w:rsidP="00000000" w:rsidRDefault="00000000" w:rsidRPr="00000000" w14:paraId="00000145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El enfoque maximiza detección de positivos (alto recall), sacrificando precisión en clase positiva.</w:t>
      </w:r>
    </w:p>
    <w:p w:rsidR="00000000" w:rsidDel="00000000" w:rsidP="00000000" w:rsidRDefault="00000000" w:rsidRPr="00000000" w14:paraId="00000146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La solución es útil como apoyo a la priorización clínica, pero no reemplaza evaluación médica ni confirmación diagnóstica.</w:t>
      </w:r>
    </w:p>
    <w:p w:rsidR="00000000" w:rsidDel="00000000" w:rsidP="00000000" w:rsidRDefault="00000000" w:rsidRPr="00000000" w14:paraId="00000147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Como siguiente mejora, se recomienda calibrar umbral de decisión para optimizar trade-off recall/precision según criterio operativo.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</w:rPr>
      </w:pPr>
      <w:bookmarkStart w:colFirst="0" w:colLast="0" w:name="_heading=h.z9sfu79zoxmb" w:id="42"/>
      <w:bookmarkEnd w:id="4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ANEXOS</w:t>
      </w:r>
    </w:p>
    <w:p w:rsidR="00000000" w:rsidDel="00000000" w:rsidP="00000000" w:rsidRDefault="00000000" w:rsidRPr="00000000" w14:paraId="00000149">
      <w:pPr>
        <w:shd w:fill="ffffff" w:val="clear"/>
        <w:spacing w:after="240" w:before="240" w:lineRule="auto"/>
        <w:ind w:left="-40" w:right="-40" w:firstLine="0"/>
        <w:rPr>
          <w:color w:val="3964fe"/>
        </w:rPr>
      </w:pPr>
      <w:r w:rsidDel="00000000" w:rsidR="00000000" w:rsidRPr="00000000">
        <w:rPr>
          <w:color w:val="0f1115"/>
          <w:rtl w:val="0"/>
        </w:rPr>
        <w:t xml:space="preserve">Github proyecto: </w:t>
      </w:r>
      <w:hyperlink r:id="rId22">
        <w:r w:rsidDel="00000000" w:rsidR="00000000" w:rsidRPr="00000000">
          <w:rPr>
            <w:color w:val="3964fe"/>
            <w:rtl w:val="0"/>
          </w:rPr>
          <w:t xml:space="preserve">https://github.com/MauricioTapia84/EDA-ACV/tree/main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240" w:before="240" w:lineRule="auto"/>
        <w:ind w:left="-40" w:right="-40" w:firstLine="0"/>
        <w:rPr>
          <w:color w:val="3964fe"/>
        </w:rPr>
      </w:pPr>
      <w:r w:rsidDel="00000000" w:rsidR="00000000" w:rsidRPr="00000000">
        <w:rPr>
          <w:color w:val="0f1115"/>
          <w:rtl w:val="0"/>
        </w:rPr>
        <w:t xml:space="preserve">Database: </w:t>
      </w:r>
      <w:hyperlink r:id="rId23">
        <w:r w:rsidDel="00000000" w:rsidR="00000000" w:rsidRPr="00000000">
          <w:rPr>
            <w:color w:val="3964fe"/>
            <w:rtl w:val="0"/>
          </w:rPr>
          <w:t xml:space="preserve">https://www.kaggle.com/datasets/fedesoriano/stroke-prediction-dataset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Artefactos generados (Fase 2):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color w:val="0f1115"/>
          <w:shd w:fill="ebeef2" w:val="clear"/>
          <w:rtl w:val="0"/>
        </w:rPr>
        <w:t xml:space="preserve">results/metrics/tuned_model_comparison.csv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color w:val="0f1115"/>
          <w:shd w:fill="ebeef2" w:val="clear"/>
          <w:rtl w:val="0"/>
        </w:rPr>
        <w:t xml:space="preserve">models/best_params.json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color w:val="0f1115"/>
          <w:shd w:fill="ebeef2" w:val="clear"/>
          <w:rtl w:val="0"/>
        </w:rPr>
        <w:t xml:space="preserve">models/optuna_study.csv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color w:val="0f1115"/>
          <w:shd w:fill="ebeef2" w:val="clear"/>
          <w:rtl w:val="0"/>
        </w:rPr>
        <w:t xml:space="preserve">results/metrics/tuned_holdout_metrics.csv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color w:val="0f1115"/>
          <w:shd w:fill="ebeef2" w:val="clear"/>
          <w:rtl w:val="0"/>
        </w:rPr>
        <w:t xml:space="preserve">reports/evaluation_results.md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color w:val="0f1115"/>
          <w:shd w:fill="ebeef2" w:val="clear"/>
          <w:rtl w:val="0"/>
        </w:rPr>
        <w:t xml:space="preserve">reports/feature_importance.csv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color w:val="0f1115"/>
          <w:shd w:fill="ebeef2" w:val="clear"/>
          <w:rtl w:val="0"/>
        </w:rPr>
        <w:t xml:space="preserve">docs/verificacion_rubrica_pdf.md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sectPr>
      <w:headerReference r:id="rId24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Robot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jc w:val="center"/>
      <w:rPr>
        <w:rFonts w:ascii="Aptos" w:cs="Aptos" w:eastAsia="Aptos" w:hAnsi="Aptos"/>
        <w:color w:val="000000"/>
        <w:sz w:val="24"/>
        <w:szCs w:val="24"/>
      </w:rPr>
    </w:pPr>
    <w:r w:rsidDel="00000000" w:rsidR="00000000" w:rsidRPr="00000000">
      <w:rPr>
        <w:rFonts w:ascii="Calibri" w:cs="Calibri" w:eastAsia="Calibri" w:hAnsi="Calibri"/>
        <w:color w:val="000000"/>
      </w:rPr>
      <w:drawing>
        <wp:inline distB="0" distT="0" distL="0" distR="0">
          <wp:extent cx="3057525" cy="676275"/>
          <wp:effectExtent b="0" l="0" r="0" t="0"/>
          <wp:docPr id="17" name="image14.png"/>
          <a:graphic>
            <a:graphicData uri="http://schemas.openxmlformats.org/drawingml/2006/picture">
              <pic:pic>
                <pic:nvPicPr>
                  <pic:cNvPr id="0" name="image1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57525" cy="6762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jc w:val="center"/>
      <w:rPr>
        <w:rFonts w:ascii="Aptos" w:cs="Aptos" w:eastAsia="Aptos" w:hAnsi="Aptos"/>
        <w:color w:val="000000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f1115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f1115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-CL"/>
      </w:rPr>
    </w:rPrDefault>
    <w:pPrDefault>
      <w:pPr>
        <w:spacing w:after="2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3.png"/><Relationship Id="rId22" Type="http://schemas.openxmlformats.org/officeDocument/2006/relationships/hyperlink" Target="https://github.com/MauricioTapia84/EDA-ACV/tree/main" TargetMode="External"/><Relationship Id="rId10" Type="http://schemas.openxmlformats.org/officeDocument/2006/relationships/image" Target="media/image7.png"/><Relationship Id="rId21" Type="http://schemas.openxmlformats.org/officeDocument/2006/relationships/image" Target="media/image17.png"/><Relationship Id="rId13" Type="http://schemas.openxmlformats.org/officeDocument/2006/relationships/image" Target="media/image15.png"/><Relationship Id="rId24" Type="http://schemas.openxmlformats.org/officeDocument/2006/relationships/header" Target="header1.xml"/><Relationship Id="rId12" Type="http://schemas.openxmlformats.org/officeDocument/2006/relationships/image" Target="media/image11.png"/><Relationship Id="rId23" Type="http://schemas.openxmlformats.org/officeDocument/2006/relationships/hyperlink" Target="https://www.kaggle.com/datasets/fedesoriano/stroke-prediction-datase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4.png"/><Relationship Id="rId14" Type="http://schemas.openxmlformats.org/officeDocument/2006/relationships/image" Target="media/image12.png"/><Relationship Id="rId17" Type="http://schemas.openxmlformats.org/officeDocument/2006/relationships/image" Target="media/image1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customXml" Target="../customXML/item1.xml"/><Relationship Id="rId18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9" Type="http://schemas.openxmlformats.org/officeDocument/2006/relationships/font" Target="fonts/Roboto-boldItalic.ttf"/><Relationship Id="rId5" Type="http://schemas.openxmlformats.org/officeDocument/2006/relationships/font" Target="fonts/Cardo-italic.ttf"/><Relationship Id="rId6" Type="http://schemas.openxmlformats.org/officeDocument/2006/relationships/font" Target="fonts/Roboto-regular.ttf"/><Relationship Id="rId7" Type="http://schemas.openxmlformats.org/officeDocument/2006/relationships/font" Target="fonts/Roboto-bold.ttf"/><Relationship Id="rId8" Type="http://schemas.openxmlformats.org/officeDocument/2006/relationships/font" Target="fonts/Robot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1t1YT/xDWVSRM5iE7LJDBZJd1A==">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