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F3864"/>
          <w:sz w:val="48"/>
          <w:szCs w:val="48"/>
        </w:rPr>
        <w:t xml:space="preserve">POLÍTICA DE CIBERSEGURIDAD</w:t>
      </w:r>
    </w:p>
    <w:p>
      <w:pPr>
        <w:spacing w:after="600" w:before="0"/>
        <w:jc w:val="center"/>
      </w:pPr>
      <w:r>
        <w:rPr>
          <w:rFonts w:ascii="Arial" w:cs="Arial" w:eastAsia="Arial" w:hAnsi="Arial"/>
          <w:i/>
          <w:iCs/>
          <w:color w:val="2E75B6"/>
          <w:sz w:val="28"/>
          <w:szCs w:val="28"/>
        </w:rPr>
        <w:t xml:space="preserve">[Nombre de la empresa]</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Versión:</w:t>
            </w:r>
          </w:p>
        </w:tc>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[DD/MM/AAAA]</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Elaborado por:</w:t>
            </w:r>
          </w:p>
        </w:tc>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[Nombre — Cargo]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Revisado por: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[Nombre — Cargo]</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Aprobado por:</w:t>
            </w:r>
          </w:p>
        </w:tc>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[Nombre — Alta Dirección]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Clasificación: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Confidencial — uso interno</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Vigencia:</w:t>
            </w:r>
          </w:p>
        </w:tc>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Dos (2) años desde su aprobación</w:t>
            </w:r>
          </w:p>
        </w:tc>
      </w:tr>
    </w:tbl>
    <w:p>
      <w:pPr>
        <w:spacing w:after="40" w:before="40"/>
      </w:pPr>
      <w:r>
        <w:t xml:space="preserve"/>
      </w:r>
    </w:p>
    <w:p>
      <w:pPr>
        <w:pBdr>
          <w:bottom w:val="single" w:color="2E75B6" w:sz="12" w:space="1"/>
        </w:pBdr>
        <w:spacing w:after="400" w:before="400"/>
      </w:pPr>
      <w:r>
        <w:t xml:space="preserve"/>
      </w:r>
    </w:p>
    <w:p>
      <w:pPr>
        <w:pStyle w:val="Heading2"/>
        <w:pBdr>
          <w:bottom w:val="single" w:color="2E75B6" w:sz="6" w:space="1"/>
        </w:pBdr>
        <w:spacing w:after="120" w:before="320"/>
      </w:pPr>
      <w:r>
        <w:rPr>
          <w:rFonts w:ascii="Arial" w:cs="Arial" w:eastAsia="Arial" w:hAnsi="Arial"/>
          <w:b/>
          <w:bCs/>
          <w:color w:val="1F3864"/>
          <w:sz w:val="24"/>
          <w:szCs w:val="24"/>
        </w:rPr>
        <w:t xml:space="preserve">Control de versiones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07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cambio</w:t>
            </w:r>
          </w:p>
        </w:tc>
        <w:tc>
          <w:tcPr>
            <w:tcW w:type="dxa" w:w="307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[DD/MM/AAAA]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Versión inicial</w:t>
            </w:r>
          </w:p>
        </w:tc>
        <w:tc>
          <w:tcPr>
            <w:tcW w:type="dxa" w:w="3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[Nombre]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30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
            </w:r>
          </w:p>
        </w:tc>
      </w:tr>
    </w:tbl>
    <w:p>
      <w:pPr>
        <w:spacing w:after="40" w:before="40"/>
      </w:pPr>
      <w:r>
        <w:t xml:space="preserve"/>
      </w:r>
    </w:p>
    <w:p>
      <w:pPr>
        <w:pStyle w:val="Heading1"/>
        <w:shd w:fill="1F3864" w:val="clear"/>
        <w:spacing w:after="160" w:before="280"/>
        <w:ind w:left="160" w:right="160"/>
      </w:pPr>
      <w:r>
        <w:rPr>
          <w:rFonts w:ascii="Arial" w:cs="Arial" w:eastAsia="Arial" w:hAnsi="Arial"/>
          <w:b/>
          <w:bCs/>
          <w:color w:val="FFFFFF"/>
          <w:sz w:val="28"/>
          <w:szCs w:val="28"/>
        </w:rPr>
        <w:t xml:space="preserve">1.  Propósito</w:t>
      </w:r>
    </w:p>
    <w:p>
      <w:pPr>
        <w:spacing w:after="60" w:before="60"/>
        <w:jc w:val="both"/>
      </w:pPr>
      <w:r>
        <w:rPr>
          <w:rFonts w:ascii="Arial" w:cs="Arial" w:eastAsia="Arial" w:hAnsi="Arial"/>
          <w:sz w:val="20"/>
          <w:szCs w:val="20"/>
        </w:rPr>
        <w:t xml:space="preserve">La presente Política de Ciberseguridad establece el conjunto de principios, directrices y responsabilidades que [Nombre de la empresa] adopta para proteger sus activos de información, garantizar la continuidad de sus operaciones y cumplir con las obligaciones legales y contractuales aplicables en materia de seguridad de la información.</w:t>
      </w:r>
    </w:p>
    <w:p>
      <w:pPr>
        <w:spacing w:after="40" w:before="40"/>
      </w:pPr>
      <w:r>
        <w:t xml:space="preserve"/>
      </w:r>
    </w:p>
    <w:p>
      <w:pPr>
        <w:spacing w:after="60" w:before="60"/>
        <w:jc w:val="both"/>
      </w:pPr>
      <w:r>
        <w:rPr>
          <w:rFonts w:ascii="Arial" w:cs="Arial" w:eastAsia="Arial" w:hAnsi="Arial"/>
          <w:sz w:val="20"/>
          <w:szCs w:val="20"/>
        </w:rPr>
        <w:t xml:space="preserve">Esta política aplica a toda la organización y su cumplimiento es obligatorio para todos los empleados, contratistas, proveedores y cualquier tercero que acceda a los sistemas, redes, datos o instalaciones de la empresa.</w:t>
      </w:r>
    </w:p>
    <w:p>
      <w:pPr>
        <w:pStyle w:val="Heading1"/>
        <w:shd w:fill="1F3864" w:val="clear"/>
        <w:spacing w:after="160" w:before="280"/>
        <w:ind w:left="160" w:right="160"/>
      </w:pPr>
      <w:r>
        <w:rPr>
          <w:rFonts w:ascii="Arial" w:cs="Arial" w:eastAsia="Arial" w:hAnsi="Arial"/>
          <w:b/>
          <w:bCs/>
          <w:color w:val="FFFFFF"/>
          <w:sz w:val="28"/>
          <w:szCs w:val="28"/>
        </w:rPr>
        <w:t xml:space="preserve">2.  Alcance</w:t>
      </w:r>
    </w:p>
    <w:p>
      <w:pPr>
        <w:spacing w:after="60" w:before="60"/>
        <w:jc w:val="both"/>
      </w:pPr>
      <w:r>
        <w:rPr>
          <w:rFonts w:ascii="Arial" w:cs="Arial" w:eastAsia="Arial" w:hAnsi="Arial"/>
          <w:sz w:val="20"/>
          <w:szCs w:val="20"/>
        </w:rPr>
        <w:t xml:space="preserve">Esta política aplica a:</w:t>
      </w:r>
    </w:p>
    <w:p>
      <w:pPr>
        <w:pStyle w:val="ListParagraph"/>
        <w:numPr>
          <w:ilvl w:val="0"/>
          <w:numId w:val="2"/>
        </w:numPr>
        <w:spacing w:after="40" w:before="40"/>
      </w:pPr>
      <w:r>
        <w:rPr>
          <w:rFonts w:ascii="Arial" w:cs="Arial" w:eastAsia="Arial" w:hAnsi="Arial"/>
          <w:sz w:val="20"/>
          <w:szCs w:val="20"/>
        </w:rPr>
        <w:t xml:space="preserve">Todos los empleados, pasantes y colaboradores de [Nombre de la empresa], independientemente de su modalidad de contratación.</w:t>
      </w:r>
    </w:p>
    <w:p>
      <w:pPr>
        <w:pStyle w:val="ListParagraph"/>
        <w:numPr>
          <w:ilvl w:val="0"/>
          <w:numId w:val="2"/>
        </w:numPr>
        <w:spacing w:after="40" w:before="40"/>
      </w:pPr>
      <w:r>
        <w:rPr>
          <w:rFonts w:ascii="Arial" w:cs="Arial" w:eastAsia="Arial" w:hAnsi="Arial"/>
          <w:sz w:val="20"/>
          <w:szCs w:val="20"/>
        </w:rPr>
        <w:t xml:space="preserve">Contratistas, proveedores y terceros que accedan a los sistemas o datos de la organización.</w:t>
      </w:r>
    </w:p>
    <w:p>
      <w:pPr>
        <w:pStyle w:val="ListParagraph"/>
        <w:numPr>
          <w:ilvl w:val="0"/>
          <w:numId w:val="2"/>
        </w:numPr>
        <w:spacing w:after="40" w:before="40"/>
      </w:pPr>
      <w:r>
        <w:rPr>
          <w:rFonts w:ascii="Arial" w:cs="Arial" w:eastAsia="Arial" w:hAnsi="Arial"/>
          <w:sz w:val="20"/>
          <w:szCs w:val="20"/>
        </w:rPr>
        <w:t xml:space="preserve">Todos los activos de información: equipos de cómputo, servidores, dispositivos móviles, servicios en la nube, correo electrónico, redes internas y datos corporativos, independientemente de su ubicación física o lógica.</w:t>
      </w:r>
    </w:p>
    <w:p>
      <w:pPr>
        <w:pStyle w:val="ListParagraph"/>
        <w:numPr>
          <w:ilvl w:val="0"/>
          <w:numId w:val="2"/>
        </w:numPr>
        <w:spacing w:after="40" w:before="40"/>
      </w:pPr>
      <w:r>
        <w:rPr>
          <w:rFonts w:ascii="Arial" w:cs="Arial" w:eastAsia="Arial" w:hAnsi="Arial"/>
          <w:sz w:val="20"/>
          <w:szCs w:val="20"/>
        </w:rPr>
        <w:t xml:space="preserve">Todos los procesos operativos que involucren tratamiento, almacenamiento o transmisión de información de la empresa o de sus clientes.</w:t>
      </w:r>
    </w:p>
    <w:p>
      <w:pPr>
        <w:pStyle w:val="Heading1"/>
        <w:shd w:fill="1F3864" w:val="clear"/>
        <w:spacing w:after="160" w:before="280"/>
        <w:ind w:left="160" w:right="160"/>
      </w:pPr>
      <w:r>
        <w:rPr>
          <w:rFonts w:ascii="Arial" w:cs="Arial" w:eastAsia="Arial" w:hAnsi="Arial"/>
          <w:b/>
          <w:bCs/>
          <w:color w:val="FFFFFF"/>
          <w:sz w:val="28"/>
          <w:szCs w:val="28"/>
        </w:rPr>
        <w:t xml:space="preserve">3.  Objetivos</w:t>
      </w:r>
    </w:p>
    <w:p>
      <w:pPr>
        <w:spacing w:after="60" w:before="60"/>
        <w:jc w:val="both"/>
      </w:pPr>
      <w:r>
        <w:rPr>
          <w:rFonts w:ascii="Arial" w:cs="Arial" w:eastAsia="Arial" w:hAnsi="Arial"/>
          <w:sz w:val="20"/>
          <w:szCs w:val="20"/>
        </w:rPr>
        <w:t xml:space="preserve">Los objetivos específicos de esta política son:</w:t>
      </w:r>
    </w:p>
    <w:p>
      <w:pPr>
        <w:pStyle w:val="ListParagraph"/>
        <w:numPr>
          <w:ilvl w:val="0"/>
          <w:numId w:val="2"/>
        </w:numPr>
        <w:spacing w:after="40" w:before="40"/>
      </w:pPr>
      <w:r>
        <w:rPr>
          <w:rFonts w:ascii="Arial" w:cs="Arial" w:eastAsia="Arial" w:hAnsi="Arial"/>
          <w:sz w:val="20"/>
          <w:szCs w:val="20"/>
        </w:rPr>
        <w:t xml:space="preserve">Proteger la confidencialidad, integridad y disponibilidad de la información de la organización y de sus clientes.</w:t>
      </w:r>
    </w:p>
    <w:p>
      <w:pPr>
        <w:pStyle w:val="ListParagraph"/>
        <w:numPr>
          <w:ilvl w:val="0"/>
          <w:numId w:val="2"/>
        </w:numPr>
        <w:spacing w:after="40" w:before="40"/>
      </w:pPr>
      <w:r>
        <w:rPr>
          <w:rFonts w:ascii="Arial" w:cs="Arial" w:eastAsia="Arial" w:hAnsi="Arial"/>
          <w:sz w:val="20"/>
          <w:szCs w:val="20"/>
        </w:rPr>
        <w:t xml:space="preserve">Reducir la probabilidad y el impacto de incidentes de ciberseguridad mediante controles preventivos, detectivos y correctivos.</w:t>
      </w:r>
    </w:p>
    <w:p>
      <w:pPr>
        <w:pStyle w:val="ListParagraph"/>
        <w:numPr>
          <w:ilvl w:val="0"/>
          <w:numId w:val="2"/>
        </w:numPr>
        <w:spacing w:after="40" w:before="40"/>
      </w:pPr>
      <w:r>
        <w:rPr>
          <w:rFonts w:ascii="Arial" w:cs="Arial" w:eastAsia="Arial" w:hAnsi="Arial"/>
          <w:sz w:val="20"/>
          <w:szCs w:val="20"/>
        </w:rPr>
        <w:t xml:space="preserve">Establecer responsabilidades claras en materia de seguridad de la información para todos los miembros de la organización.</w:t>
      </w:r>
    </w:p>
    <w:p>
      <w:pPr>
        <w:pStyle w:val="ListParagraph"/>
        <w:numPr>
          <w:ilvl w:val="0"/>
          <w:numId w:val="2"/>
        </w:numPr>
        <w:spacing w:after="40" w:before="40"/>
      </w:pPr>
      <w:r>
        <w:rPr>
          <w:rFonts w:ascii="Arial" w:cs="Arial" w:eastAsia="Arial" w:hAnsi="Arial"/>
          <w:sz w:val="20"/>
          <w:szCs w:val="20"/>
        </w:rPr>
        <w:t xml:space="preserve">Garantizar la continuidad operativa ante eventos disruptivos mediante la gestión adecuada de respaldos y planes de recuperación.</w:t>
      </w:r>
    </w:p>
    <w:p>
      <w:pPr>
        <w:pStyle w:val="ListParagraph"/>
        <w:numPr>
          <w:ilvl w:val="0"/>
          <w:numId w:val="2"/>
        </w:numPr>
        <w:spacing w:after="40" w:before="40"/>
      </w:pPr>
      <w:r>
        <w:rPr>
          <w:rFonts w:ascii="Arial" w:cs="Arial" w:eastAsia="Arial" w:hAnsi="Arial"/>
          <w:sz w:val="20"/>
          <w:szCs w:val="20"/>
        </w:rPr>
        <w:t xml:space="preserve">Cumplir con los requisitos legales, regulatorios y contractuales aplicables, incluyendo la Ley 1581 de 2012 (Habeas Data) y demás normativa vigente en materia de protección de datos personales.</w:t>
      </w:r>
    </w:p>
    <w:p>
      <w:pPr>
        <w:pStyle w:val="ListParagraph"/>
        <w:numPr>
          <w:ilvl w:val="0"/>
          <w:numId w:val="2"/>
        </w:numPr>
        <w:spacing w:after="40" w:before="40"/>
      </w:pPr>
      <w:r>
        <w:rPr>
          <w:rFonts w:ascii="Arial" w:cs="Arial" w:eastAsia="Arial" w:hAnsi="Arial"/>
          <w:sz w:val="20"/>
          <w:szCs w:val="20"/>
        </w:rPr>
        <w:t xml:space="preserve">Crear una cultura organizacional de seguridad que involucre activamente a todas las personas que interactúan con los sistemas de la empresa.</w:t>
      </w:r>
    </w:p>
    <w:p>
      <w:pPr>
        <w:pStyle w:val="Heading1"/>
        <w:shd w:fill="1F3864" w:val="clear"/>
        <w:spacing w:after="160" w:before="280"/>
        <w:ind w:left="160" w:right="160"/>
      </w:pPr>
      <w:r>
        <w:rPr>
          <w:rFonts w:ascii="Arial" w:cs="Arial" w:eastAsia="Arial" w:hAnsi="Arial"/>
          <w:b/>
          <w:bCs/>
          <w:color w:val="FFFFFF"/>
          <w:sz w:val="28"/>
          <w:szCs w:val="28"/>
        </w:rPr>
        <w:t xml:space="preserve">4.  Principios rectores</w:t>
      </w:r>
    </w:p>
    <w:p>
      <w:pPr>
        <w:spacing w:after="60" w:before="60"/>
        <w:jc w:val="both"/>
      </w:pPr>
      <w:r>
        <w:rPr>
          <w:rFonts w:ascii="Arial" w:cs="Arial" w:eastAsia="Arial" w:hAnsi="Arial"/>
          <w:sz w:val="20"/>
          <w:szCs w:val="20"/>
        </w:rPr>
        <w:t xml:space="preserve">La gestión de la ciberseguridad en [Nombre de la empresa] se fundamenta en los siguientes principios:</w:t>
      </w:r>
    </w:p>
    <w:p>
      <w:pPr>
        <w:spacing w:after="40" w:before="40"/>
      </w:pPr>
      <w:r>
        <w:t xml:space="preserve"/>
      </w:r>
    </w:p>
    <w:p>
      <w:pPr>
        <w:spacing w:after="60" w:before="60"/>
        <w:jc w:val="both"/>
      </w:pPr>
      <w:r>
        <w:rPr>
          <w:rFonts w:ascii="Arial" w:cs="Arial" w:eastAsia="Arial" w:hAnsi="Arial"/>
          <w:b/>
          <w:bCs/>
          <w:sz w:val="20"/>
          <w:szCs w:val="20"/>
        </w:rPr>
        <w:t xml:space="preserve">Mínimo privilegio: </w:t>
      </w:r>
      <w:r>
        <w:rPr>
          <w:rFonts w:ascii="Arial" w:cs="Arial" w:eastAsia="Arial" w:hAnsi="Arial"/>
          <w:sz w:val="20"/>
          <w:szCs w:val="20"/>
        </w:rPr>
        <w:t xml:space="preserve">Cada usuario o sistema accede únicamente a los recursos necesarios para cumplir sus funciones específicas, y ninguno más.</w:t>
      </w:r>
    </w:p>
    <w:p>
      <w:pPr>
        <w:spacing w:after="60" w:before="60"/>
        <w:jc w:val="both"/>
      </w:pPr>
      <w:r>
        <w:rPr>
          <w:rFonts w:ascii="Arial" w:cs="Arial" w:eastAsia="Arial" w:hAnsi="Arial"/>
          <w:b/>
          <w:bCs/>
          <w:sz w:val="20"/>
          <w:szCs w:val="20"/>
        </w:rPr>
        <w:t xml:space="preserve">Defensa en profundidad: </w:t>
      </w:r>
      <w:r>
        <w:rPr>
          <w:rFonts w:ascii="Arial" w:cs="Arial" w:eastAsia="Arial" w:hAnsi="Arial"/>
          <w:sz w:val="20"/>
          <w:szCs w:val="20"/>
        </w:rPr>
        <w:t xml:space="preserve">Se implementan múltiples capas de controles de seguridad, de modo que el fallo de un control no comprometa la totalidad del sistema.</w:t>
      </w:r>
    </w:p>
    <w:p>
      <w:pPr>
        <w:spacing w:after="60" w:before="60"/>
        <w:jc w:val="both"/>
      </w:pPr>
      <w:r>
        <w:rPr>
          <w:rFonts w:ascii="Arial" w:cs="Arial" w:eastAsia="Arial" w:hAnsi="Arial"/>
          <w:b/>
          <w:bCs/>
          <w:sz w:val="20"/>
          <w:szCs w:val="20"/>
        </w:rPr>
        <w:t xml:space="preserve">Necesidad de conocer: </w:t>
      </w:r>
      <w:r>
        <w:rPr>
          <w:rFonts w:ascii="Arial" w:cs="Arial" w:eastAsia="Arial" w:hAnsi="Arial"/>
          <w:sz w:val="20"/>
          <w:szCs w:val="20"/>
        </w:rPr>
        <w:t xml:space="preserve">La información sensible se comparte únicamente con quienes la necesiten para el ejercicio de sus funciones.</w:t>
      </w:r>
    </w:p>
    <w:p>
      <w:pPr>
        <w:spacing w:after="60" w:before="60"/>
        <w:jc w:val="both"/>
      </w:pPr>
      <w:r>
        <w:rPr>
          <w:rFonts w:ascii="Arial" w:cs="Arial" w:eastAsia="Arial" w:hAnsi="Arial"/>
          <w:b/>
          <w:bCs/>
          <w:sz w:val="20"/>
          <w:szCs w:val="20"/>
        </w:rPr>
        <w:t xml:space="preserve">Responsabilidad: </w:t>
      </w:r>
      <w:r>
        <w:rPr>
          <w:rFonts w:ascii="Arial" w:cs="Arial" w:eastAsia="Arial" w:hAnsi="Arial"/>
          <w:sz w:val="20"/>
          <w:szCs w:val="20"/>
        </w:rPr>
        <w:t xml:space="preserve">Cada persona que accede a los sistemas de la organización es responsable del uso adecuado de los recursos que le fueron asignados.</w:t>
      </w:r>
    </w:p>
    <w:p>
      <w:pPr>
        <w:spacing w:after="60" w:before="60"/>
        <w:jc w:val="both"/>
      </w:pPr>
      <w:r>
        <w:rPr>
          <w:rFonts w:ascii="Arial" w:cs="Arial" w:eastAsia="Arial" w:hAnsi="Arial"/>
          <w:b/>
          <w:bCs/>
          <w:sz w:val="20"/>
          <w:szCs w:val="20"/>
        </w:rPr>
        <w:t xml:space="preserve">Mejora continua: </w:t>
      </w:r>
      <w:r>
        <w:rPr>
          <w:rFonts w:ascii="Arial" w:cs="Arial" w:eastAsia="Arial" w:hAnsi="Arial"/>
          <w:sz w:val="20"/>
          <w:szCs w:val="20"/>
        </w:rPr>
        <w:t xml:space="preserve">Los controles de seguridad se revisan y actualizan periódicamente para adaptarse a la evolución del panorama de amenazas y a los cambios en la infraestructura tecnológica.</w:t>
      </w:r>
    </w:p>
    <w:p>
      <w:pPr>
        <w:pStyle w:val="Heading1"/>
        <w:shd w:fill="1F3864" w:val="clear"/>
        <w:spacing w:after="160" w:before="280"/>
        <w:ind w:left="160" w:right="160"/>
      </w:pPr>
      <w:r>
        <w:rPr>
          <w:rFonts w:ascii="Arial" w:cs="Arial" w:eastAsia="Arial" w:hAnsi="Arial"/>
          <w:b/>
          <w:bCs/>
          <w:color w:val="FFFFFF"/>
          <w:sz w:val="28"/>
          <w:szCs w:val="28"/>
        </w:rPr>
        <w:t xml:space="preserve">5.  Clasificación de la información</w:t>
      </w:r>
    </w:p>
    <w:p>
      <w:pPr>
        <w:spacing w:after="60" w:before="60"/>
        <w:jc w:val="both"/>
      </w:pPr>
      <w:r>
        <w:rPr>
          <w:rFonts w:ascii="Arial" w:cs="Arial" w:eastAsia="Arial" w:hAnsi="Arial"/>
          <w:sz w:val="20"/>
          <w:szCs w:val="20"/>
        </w:rPr>
        <w:t xml:space="preserve">Toda la información de la organización se clasifica en uno de los siguientes cuatro niveles, en función de su sensibilidad y del impacto que produciría su divulgación no autorizada:</w:t>
      </w:r>
    </w:p>
    <w:p>
      <w:pPr>
        <w:spacing w:after="40" w:before="4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7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Ejemplo</w:t>
            </w:r>
          </w:p>
        </w:tc>
        <w:tc>
          <w:tcPr>
            <w:tcW w:type="dxa" w:w="487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Tratamiento requerido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Público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Información de sitio web, comunicados de prensa</w:t>
            </w:r>
          </w:p>
        </w:tc>
        <w:tc>
          <w:tcPr>
            <w:tcW w:type="dxa" w:w="4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Puede compartirse libremente sin restricciones.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Interno</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Procedimientos operativos, organigramas, políticas internas</w:t>
            </w:r>
          </w:p>
        </w:tc>
        <w:tc>
          <w:tcPr>
            <w:tcW w:type="dxa" w:w="487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Solo para uso de empleados. No debe compartirse con terceros sin autorización.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Confidencial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Datos de clientes, contratos, información financiera, credenciales de acceso</w:t>
            </w:r>
          </w:p>
        </w:tc>
        <w:tc>
          <w:tcPr>
            <w:tcW w:type="dxa" w:w="4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Acceso restringido. Requiere cifrado en tránsito y en reposo. Acuerdo de confidencialidad para terceros.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Restringido</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Claves criptográficas, datos de tarjetas de pago, información regulada por ley</w:t>
            </w:r>
          </w:p>
        </w:tc>
        <w:tc>
          <w:tcPr>
            <w:tcW w:type="dxa" w:w="487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Acceso mínimo. Controles estrictos. Registro de todos los accesos. Eliminación segura cuando ya no se requiera.</w:t>
            </w:r>
          </w:p>
        </w:tc>
      </w:tr>
    </w:tbl>
    <w:p>
      <w:pPr>
        <w:spacing w:after="40" w:before="4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2E75B6" w:sz="1"/>
              <w:left w:val="single" w:color="2E75B6" w:sz="12"/>
              <w:bottom w:val="single" w:color="FFFFFF" w:sz="1"/>
              <w:right w:val="single" w:color="FFFFFF" w:sz="1"/>
            </w:tcBorders>
            <w:shd w:fill="D6E4F7" w:val="clear"/>
            <w:tcMar>
              <w:top w:type="dxa" w:w="80"/>
              <w:left w:type="dxa" w:w="200"/>
              <w:bottom w:type="dxa" w:w="20"/>
              <w:right w:type="dxa" w:w="120"/>
            </w:tcMar>
          </w:tcPr>
          <w:p>
            <w:r>
              <w:rPr>
                <w:rFonts w:ascii="Arial" w:cs="Arial" w:eastAsia="Arial" w:hAnsi="Arial"/>
                <w:b/>
                <w:bCs/>
                <w:color w:val="1F3864"/>
                <w:sz w:val="18"/>
                <w:szCs w:val="18"/>
              </w:rPr>
              <w:t xml:space="preserve">📌  Nota importante</w:t>
            </w:r>
          </w:p>
        </w:tc>
      </w:tr>
      <w:tr>
        <w:tc>
          <w:tcPr>
            <w:tcBorders>
              <w:top w:val="single" w:color="FFFFFF" w:sz="1"/>
              <w:left w:val="single" w:color="2E75B6" w:sz="12"/>
              <w:bottom w:val="single" w:color="2E75B6" w:sz="1"/>
              <w:right w:val="single" w:color="FFFFFF" w:sz="1"/>
            </w:tcBorders>
            <w:shd w:fill="D6E4F7" w:val="clear"/>
            <w:tcMar>
              <w:top w:type="dxa" w:w="20"/>
              <w:left w:type="dxa" w:w="200"/>
              <w:bottom w:type="dxa" w:w="80"/>
              <w:right w:type="dxa" w:w="120"/>
            </w:tcMar>
          </w:tcPr>
          <w:p>
            <w:pPr>
              <w:jc w:val="both"/>
            </w:pPr>
            <w:r>
              <w:rPr>
                <w:rFonts w:ascii="Arial" w:cs="Arial" w:eastAsia="Arial" w:hAnsi="Arial"/>
                <w:sz w:val="18"/>
                <w:szCs w:val="18"/>
              </w:rPr>
              <w:t xml:space="preserve">Cuando exista duda sobre el nivel de clasificación de un dato o documento, debe asignársele el nivel superior más restrictivo hasta que el responsable de seguridad confirme la clasificación correcta.</w:t>
            </w:r>
          </w:p>
        </w:tc>
      </w:tr>
    </w:tbl>
    <w:p>
      <w:pPr>
        <w:pStyle w:val="Heading1"/>
        <w:shd w:fill="1F3864" w:val="clear"/>
        <w:spacing w:after="160" w:before="280"/>
        <w:ind w:left="160" w:right="160"/>
      </w:pPr>
      <w:r>
        <w:rPr>
          <w:rFonts w:ascii="Arial" w:cs="Arial" w:eastAsia="Arial" w:hAnsi="Arial"/>
          <w:b/>
          <w:bCs/>
          <w:color w:val="FFFFFF"/>
          <w:sz w:val="28"/>
          <w:szCs w:val="28"/>
        </w:rPr>
        <w:t xml:space="preserve">6.  Responsabilidades</w:t>
      </w:r>
    </w:p>
    <w:p>
      <w:pPr>
        <w:pStyle w:val="Heading2"/>
        <w:pBdr>
          <w:bottom w:val="single" w:color="2E75B6" w:sz="6" w:space="1"/>
        </w:pBdr>
        <w:spacing w:after="120" w:before="320"/>
      </w:pPr>
      <w:r>
        <w:rPr>
          <w:rFonts w:ascii="Arial" w:cs="Arial" w:eastAsia="Arial" w:hAnsi="Arial"/>
          <w:b/>
          <w:bCs/>
          <w:color w:val="1F3864"/>
          <w:sz w:val="24"/>
          <w:szCs w:val="24"/>
        </w:rPr>
        <w:t xml:space="preserve">6.1  Alta dirección</w:t>
      </w:r>
    </w:p>
    <w:p>
      <w:pPr>
        <w:pStyle w:val="ListParagraph"/>
        <w:numPr>
          <w:ilvl w:val="0"/>
          <w:numId w:val="2"/>
        </w:numPr>
        <w:spacing w:after="40" w:before="40"/>
      </w:pPr>
      <w:r>
        <w:rPr>
          <w:rFonts w:ascii="Arial" w:cs="Arial" w:eastAsia="Arial" w:hAnsi="Arial"/>
          <w:sz w:val="20"/>
          <w:szCs w:val="20"/>
        </w:rPr>
        <w:t xml:space="preserve">Aprobar formalmente esta política y garantizar los recursos necesarios para su implementación.</w:t>
      </w:r>
    </w:p>
    <w:p>
      <w:pPr>
        <w:pStyle w:val="ListParagraph"/>
        <w:numPr>
          <w:ilvl w:val="0"/>
          <w:numId w:val="2"/>
        </w:numPr>
        <w:spacing w:after="40" w:before="40"/>
      </w:pPr>
      <w:r>
        <w:rPr>
          <w:rFonts w:ascii="Arial" w:cs="Arial" w:eastAsia="Arial" w:hAnsi="Arial"/>
          <w:sz w:val="20"/>
          <w:szCs w:val="20"/>
        </w:rPr>
        <w:t xml:space="preserve">Demostrar compromiso visible con la ciberseguridad como prioridad estratégica de la organización.</w:t>
      </w:r>
    </w:p>
    <w:p>
      <w:pPr>
        <w:pStyle w:val="ListParagraph"/>
        <w:numPr>
          <w:ilvl w:val="0"/>
          <w:numId w:val="2"/>
        </w:numPr>
        <w:spacing w:after="40" w:before="40"/>
      </w:pPr>
      <w:r>
        <w:rPr>
          <w:rFonts w:ascii="Arial" w:cs="Arial" w:eastAsia="Arial" w:hAnsi="Arial"/>
          <w:sz w:val="20"/>
          <w:szCs w:val="20"/>
        </w:rPr>
        <w:t xml:space="preserve">Revisar y aprobar el plan de ciberseguridad anual presentado por el equipo de TI.</w:t>
      </w:r>
    </w:p>
    <w:p>
      <w:pPr>
        <w:pStyle w:val="Heading2"/>
        <w:pBdr>
          <w:bottom w:val="single" w:color="2E75B6" w:sz="6" w:space="1"/>
        </w:pBdr>
        <w:spacing w:after="120" w:before="320"/>
      </w:pPr>
      <w:r>
        <w:rPr>
          <w:rFonts w:ascii="Arial" w:cs="Arial" w:eastAsia="Arial" w:hAnsi="Arial"/>
          <w:b/>
          <w:bCs/>
          <w:color w:val="1F3864"/>
          <w:sz w:val="24"/>
          <w:szCs w:val="24"/>
        </w:rPr>
        <w:t xml:space="preserve">6.2  Responsable de TI / Seguridad</w:t>
      </w:r>
    </w:p>
    <w:p>
      <w:pPr>
        <w:pStyle w:val="ListParagraph"/>
        <w:numPr>
          <w:ilvl w:val="0"/>
          <w:numId w:val="2"/>
        </w:numPr>
        <w:spacing w:after="40" w:before="40"/>
      </w:pPr>
      <w:r>
        <w:rPr>
          <w:rFonts w:ascii="Arial" w:cs="Arial" w:eastAsia="Arial" w:hAnsi="Arial"/>
          <w:sz w:val="20"/>
          <w:szCs w:val="20"/>
        </w:rPr>
        <w:t xml:space="preserve">Implementar, operar y mantener los controles técnicos definidos en esta política.</w:t>
      </w:r>
    </w:p>
    <w:p>
      <w:pPr>
        <w:pStyle w:val="ListParagraph"/>
        <w:numPr>
          <w:ilvl w:val="0"/>
          <w:numId w:val="2"/>
        </w:numPr>
        <w:spacing w:after="40" w:before="40"/>
      </w:pPr>
      <w:r>
        <w:rPr>
          <w:rFonts w:ascii="Arial" w:cs="Arial" w:eastAsia="Arial" w:hAnsi="Arial"/>
          <w:sz w:val="20"/>
          <w:szCs w:val="20"/>
        </w:rPr>
        <w:t xml:space="preserve">Gestionar los incidentes de seguridad, coordinar la respuesta y documentar los resultados.</w:t>
      </w:r>
    </w:p>
    <w:p>
      <w:pPr>
        <w:pStyle w:val="ListParagraph"/>
        <w:numPr>
          <w:ilvl w:val="0"/>
          <w:numId w:val="2"/>
        </w:numPr>
        <w:spacing w:after="40" w:before="40"/>
      </w:pPr>
      <w:r>
        <w:rPr>
          <w:rFonts w:ascii="Arial" w:cs="Arial" w:eastAsia="Arial" w:hAnsi="Arial"/>
          <w:sz w:val="20"/>
          <w:szCs w:val="20"/>
        </w:rPr>
        <w:t xml:space="preserve">Mantener actualizado el inventario de activos tecnológicos y la CMDB de la organización.</w:t>
      </w:r>
    </w:p>
    <w:p>
      <w:pPr>
        <w:pStyle w:val="ListParagraph"/>
        <w:numPr>
          <w:ilvl w:val="0"/>
          <w:numId w:val="2"/>
        </w:numPr>
        <w:spacing w:after="40" w:before="40"/>
      </w:pPr>
      <w:r>
        <w:rPr>
          <w:rFonts w:ascii="Arial" w:cs="Arial" w:eastAsia="Arial" w:hAnsi="Arial"/>
          <w:sz w:val="20"/>
          <w:szCs w:val="20"/>
        </w:rPr>
        <w:t xml:space="preserve">Garantizar que los respaldos se ejecuten, verifiquen y almacenen conforme a los procedimientos establecidos.</w:t>
      </w:r>
    </w:p>
    <w:p>
      <w:pPr>
        <w:pStyle w:val="ListParagraph"/>
        <w:numPr>
          <w:ilvl w:val="0"/>
          <w:numId w:val="2"/>
        </w:numPr>
        <w:spacing w:after="40" w:before="40"/>
      </w:pPr>
      <w:r>
        <w:rPr>
          <w:rFonts w:ascii="Arial" w:cs="Arial" w:eastAsia="Arial" w:hAnsi="Arial"/>
          <w:sz w:val="20"/>
          <w:szCs w:val="20"/>
        </w:rPr>
        <w:t xml:space="preserve">Capacitar periódicamente a los usuarios en materia de seguridad de la información.</w:t>
      </w:r>
    </w:p>
    <w:p>
      <w:pPr>
        <w:pStyle w:val="ListParagraph"/>
        <w:numPr>
          <w:ilvl w:val="0"/>
          <w:numId w:val="2"/>
        </w:numPr>
        <w:spacing w:after="40" w:before="40"/>
      </w:pPr>
      <w:r>
        <w:rPr>
          <w:rFonts w:ascii="Arial" w:cs="Arial" w:eastAsia="Arial" w:hAnsi="Arial"/>
          <w:sz w:val="20"/>
          <w:szCs w:val="20"/>
        </w:rPr>
        <w:t xml:space="preserve">Reportar a la alta dirección el estado del programa de ciberseguridad con una frecuencia mínima semestral.</w:t>
      </w:r>
    </w:p>
    <w:p>
      <w:pPr>
        <w:pStyle w:val="Heading2"/>
        <w:pBdr>
          <w:bottom w:val="single" w:color="2E75B6" w:sz="6" w:space="1"/>
        </w:pBdr>
        <w:spacing w:after="120" w:before="320"/>
      </w:pPr>
      <w:r>
        <w:rPr>
          <w:rFonts w:ascii="Arial" w:cs="Arial" w:eastAsia="Arial" w:hAnsi="Arial"/>
          <w:b/>
          <w:bCs/>
          <w:color w:val="1F3864"/>
          <w:sz w:val="24"/>
          <w:szCs w:val="24"/>
        </w:rPr>
        <w:t xml:space="preserve">6.3  Todos los empleados y colaboradores</w:t>
      </w:r>
    </w:p>
    <w:p>
      <w:pPr>
        <w:pStyle w:val="ListParagraph"/>
        <w:numPr>
          <w:ilvl w:val="0"/>
          <w:numId w:val="2"/>
        </w:numPr>
        <w:spacing w:after="40" w:before="40"/>
      </w:pPr>
      <w:r>
        <w:rPr>
          <w:rFonts w:ascii="Arial" w:cs="Arial" w:eastAsia="Arial" w:hAnsi="Arial"/>
          <w:sz w:val="20"/>
          <w:szCs w:val="20"/>
        </w:rPr>
        <w:t xml:space="preserve">Utilizar los sistemas y recursos tecnológicos exclusivamente para fines laborales autorizados.</w:t>
      </w:r>
    </w:p>
    <w:p>
      <w:pPr>
        <w:pStyle w:val="ListParagraph"/>
        <w:numPr>
          <w:ilvl w:val="0"/>
          <w:numId w:val="2"/>
        </w:numPr>
        <w:spacing w:after="40" w:before="40"/>
      </w:pPr>
      <w:r>
        <w:rPr>
          <w:rFonts w:ascii="Arial" w:cs="Arial" w:eastAsia="Arial" w:hAnsi="Arial"/>
          <w:sz w:val="20"/>
          <w:szCs w:val="20"/>
        </w:rPr>
        <w:t xml:space="preserve">Reportar cualquier incidente, anomalía o sospecha de brecha de seguridad al equipo de TI a la mayor brevedad posible.</w:t>
      </w:r>
    </w:p>
    <w:p>
      <w:pPr>
        <w:pStyle w:val="ListParagraph"/>
        <w:numPr>
          <w:ilvl w:val="0"/>
          <w:numId w:val="2"/>
        </w:numPr>
        <w:spacing w:after="40" w:before="40"/>
      </w:pPr>
      <w:r>
        <w:rPr>
          <w:rFonts w:ascii="Arial" w:cs="Arial" w:eastAsia="Arial" w:hAnsi="Arial"/>
          <w:sz w:val="20"/>
          <w:szCs w:val="20"/>
        </w:rPr>
        <w:t xml:space="preserve">Mantener la confidencialidad de sus credenciales de acceso y no compartirlas con ninguna otra persona, bajo ninguna circunstancia.</w:t>
      </w:r>
    </w:p>
    <w:p>
      <w:pPr>
        <w:pStyle w:val="ListParagraph"/>
        <w:numPr>
          <w:ilvl w:val="0"/>
          <w:numId w:val="2"/>
        </w:numPr>
        <w:spacing w:after="40" w:before="40"/>
      </w:pPr>
      <w:r>
        <w:rPr>
          <w:rFonts w:ascii="Arial" w:cs="Arial" w:eastAsia="Arial" w:hAnsi="Arial"/>
          <w:sz w:val="20"/>
          <w:szCs w:val="20"/>
        </w:rPr>
        <w:t xml:space="preserve">Completar las capacitaciones de seguridad que la organización programe con carácter obligatorio.</w:t>
      </w:r>
    </w:p>
    <w:p>
      <w:pPr>
        <w:pStyle w:val="ListParagraph"/>
        <w:numPr>
          <w:ilvl w:val="0"/>
          <w:numId w:val="2"/>
        </w:numPr>
        <w:spacing w:after="40" w:before="40"/>
      </w:pPr>
      <w:r>
        <w:rPr>
          <w:rFonts w:ascii="Arial" w:cs="Arial" w:eastAsia="Arial" w:hAnsi="Arial"/>
          <w:sz w:val="20"/>
          <w:szCs w:val="20"/>
        </w:rPr>
        <w:t xml:space="preserve">Cumplir las disposiciones de esta política y los procedimientos derivados de ella.</w:t>
      </w:r>
    </w:p>
    <w:p>
      <w:pPr>
        <w:pStyle w:val="Heading2"/>
        <w:pBdr>
          <w:bottom w:val="single" w:color="2E75B6" w:sz="6" w:space="1"/>
        </w:pBdr>
        <w:spacing w:after="120" w:before="320"/>
      </w:pPr>
      <w:r>
        <w:rPr>
          <w:rFonts w:ascii="Arial" w:cs="Arial" w:eastAsia="Arial" w:hAnsi="Arial"/>
          <w:b/>
          <w:bCs/>
          <w:color w:val="1F3864"/>
          <w:sz w:val="24"/>
          <w:szCs w:val="24"/>
        </w:rPr>
        <w:t xml:space="preserve">6.4  Proveedores y terceros</w:t>
      </w:r>
    </w:p>
    <w:p>
      <w:pPr>
        <w:pStyle w:val="ListParagraph"/>
        <w:numPr>
          <w:ilvl w:val="0"/>
          <w:numId w:val="2"/>
        </w:numPr>
        <w:spacing w:after="40" w:before="40"/>
      </w:pPr>
      <w:r>
        <w:rPr>
          <w:rFonts w:ascii="Arial" w:cs="Arial" w:eastAsia="Arial" w:hAnsi="Arial"/>
          <w:sz w:val="20"/>
          <w:szCs w:val="20"/>
        </w:rPr>
        <w:t xml:space="preserve">Cumplir con los requerimientos de seguridad establecidos en sus contratos y acuerdos de servicio.</w:t>
      </w:r>
    </w:p>
    <w:p>
      <w:pPr>
        <w:pStyle w:val="ListParagraph"/>
        <w:numPr>
          <w:ilvl w:val="0"/>
          <w:numId w:val="2"/>
        </w:numPr>
        <w:spacing w:after="40" w:before="40"/>
      </w:pPr>
      <w:r>
        <w:rPr>
          <w:rFonts w:ascii="Arial" w:cs="Arial" w:eastAsia="Arial" w:hAnsi="Arial"/>
          <w:sz w:val="20"/>
          <w:szCs w:val="20"/>
        </w:rPr>
        <w:t xml:space="preserve">Notificar a [Nombre de la empresa] cualquier incidente de seguridad que pueda afectar a la organización o a sus datos.</w:t>
      </w:r>
    </w:p>
    <w:p>
      <w:pPr>
        <w:pStyle w:val="ListParagraph"/>
        <w:numPr>
          <w:ilvl w:val="0"/>
          <w:numId w:val="2"/>
        </w:numPr>
        <w:spacing w:after="40" w:before="40"/>
      </w:pPr>
      <w:r>
        <w:rPr>
          <w:rFonts w:ascii="Arial" w:cs="Arial" w:eastAsia="Arial" w:hAnsi="Arial"/>
          <w:sz w:val="20"/>
          <w:szCs w:val="20"/>
        </w:rPr>
        <w:t xml:space="preserve">Suscribir y cumplir el acuerdo de confidencialidad vigente antes de acceder a información clasificada como Confidencial o Restringida.</w:t>
      </w:r>
    </w:p>
    <w:p>
      <w:pPr>
        <w:pStyle w:val="Heading1"/>
        <w:shd w:fill="1F3864" w:val="clear"/>
        <w:spacing w:after="160" w:before="280"/>
        <w:ind w:left="160" w:right="160"/>
      </w:pPr>
      <w:r>
        <w:rPr>
          <w:rFonts w:ascii="Arial" w:cs="Arial" w:eastAsia="Arial" w:hAnsi="Arial"/>
          <w:b/>
          <w:bCs/>
          <w:color w:val="FFFFFF"/>
          <w:sz w:val="28"/>
          <w:szCs w:val="28"/>
        </w:rPr>
        <w:t xml:space="preserve">7.  Controles obligatorios</w:t>
      </w:r>
    </w:p>
    <w:p>
      <w:pPr>
        <w:pStyle w:val="Heading2"/>
        <w:pBdr>
          <w:bottom w:val="single" w:color="2E75B6" w:sz="6" w:space="1"/>
        </w:pBdr>
        <w:spacing w:after="120" w:before="320"/>
      </w:pPr>
      <w:r>
        <w:rPr>
          <w:rFonts w:ascii="Arial" w:cs="Arial" w:eastAsia="Arial" w:hAnsi="Arial"/>
          <w:b/>
          <w:bCs/>
          <w:color w:val="1F3864"/>
          <w:sz w:val="24"/>
          <w:szCs w:val="24"/>
        </w:rPr>
        <w:t xml:space="preserve">7.1  Gestión de accesos e identidades</w:t>
      </w:r>
    </w:p>
    <w:p>
      <w:pPr>
        <w:pStyle w:val="ListParagraph"/>
        <w:numPr>
          <w:ilvl w:val="0"/>
          <w:numId w:val="2"/>
        </w:numPr>
        <w:spacing w:after="40" w:before="40"/>
      </w:pPr>
      <w:r>
        <w:rPr>
          <w:rFonts w:ascii="Arial" w:cs="Arial" w:eastAsia="Arial" w:hAnsi="Arial"/>
          <w:sz w:val="20"/>
          <w:szCs w:val="20"/>
        </w:rPr>
        <w:t xml:space="preserve">Cada usuario dispondrá de una cuenta individual e intransferible. Queda prohibido el uso de cuentas compartidas.</w:t>
      </w:r>
    </w:p>
    <w:p>
      <w:pPr>
        <w:pStyle w:val="ListParagraph"/>
        <w:numPr>
          <w:ilvl w:val="0"/>
          <w:numId w:val="2"/>
        </w:numPr>
        <w:spacing w:after="40" w:before="40"/>
      </w:pPr>
      <w:r>
        <w:rPr>
          <w:rFonts w:ascii="Arial" w:cs="Arial" w:eastAsia="Arial" w:hAnsi="Arial"/>
          <w:sz w:val="20"/>
          <w:szCs w:val="20"/>
        </w:rPr>
        <w:t xml:space="preserve">Las contraseñas deben tener una longitud mínima de doce (12) caracteres, incluyendo letras mayúsculas, minúsculas, números y caracteres especiales.</w:t>
      </w:r>
    </w:p>
    <w:p>
      <w:pPr>
        <w:pStyle w:val="ListParagraph"/>
        <w:numPr>
          <w:ilvl w:val="0"/>
          <w:numId w:val="2"/>
        </w:numPr>
        <w:spacing w:after="40" w:before="40"/>
      </w:pPr>
      <w:r>
        <w:rPr>
          <w:rFonts w:ascii="Arial" w:cs="Arial" w:eastAsia="Arial" w:hAnsi="Arial"/>
          <w:sz w:val="20"/>
          <w:szCs w:val="20"/>
        </w:rPr>
        <w:t xml:space="preserve">La autenticación multifactorial (MFA) es obligatoria para todos los accesos administrativos y para todos los servicios en la nube.</w:t>
      </w:r>
    </w:p>
    <w:p>
      <w:pPr>
        <w:pStyle w:val="ListParagraph"/>
        <w:numPr>
          <w:ilvl w:val="0"/>
          <w:numId w:val="2"/>
        </w:numPr>
        <w:spacing w:after="40" w:before="40"/>
      </w:pPr>
      <w:r>
        <w:rPr>
          <w:rFonts w:ascii="Arial" w:cs="Arial" w:eastAsia="Arial" w:hAnsi="Arial"/>
          <w:sz w:val="20"/>
          <w:szCs w:val="20"/>
        </w:rPr>
        <w:t xml:space="preserve">Las cuentas de usuarios desvinculados de la organización deben deshabilitarse el mismo día de su desvinculación, sin excepción.</w:t>
      </w:r>
    </w:p>
    <w:p>
      <w:pPr>
        <w:pStyle w:val="ListParagraph"/>
        <w:numPr>
          <w:ilvl w:val="0"/>
          <w:numId w:val="2"/>
        </w:numPr>
        <w:spacing w:after="40" w:before="40"/>
      </w:pPr>
      <w:r>
        <w:rPr>
          <w:rFonts w:ascii="Arial" w:cs="Arial" w:eastAsia="Arial" w:hAnsi="Arial"/>
          <w:sz w:val="20"/>
          <w:szCs w:val="20"/>
        </w:rPr>
        <w:t xml:space="preserve">Los privilegios de acceso deben revisarse formalmente al menos una vez por semestre.</w:t>
      </w:r>
    </w:p>
    <w:p>
      <w:pPr>
        <w:pStyle w:val="Heading2"/>
        <w:pBdr>
          <w:bottom w:val="single" w:color="2E75B6" w:sz="6" w:space="1"/>
        </w:pBdr>
        <w:spacing w:after="120" w:before="320"/>
      </w:pPr>
      <w:r>
        <w:rPr>
          <w:rFonts w:ascii="Arial" w:cs="Arial" w:eastAsia="Arial" w:hAnsi="Arial"/>
          <w:b/>
          <w:bCs/>
          <w:color w:val="1F3864"/>
          <w:sz w:val="24"/>
          <w:szCs w:val="24"/>
        </w:rPr>
        <w:t xml:space="preserve">7.2  Protección de dispositivos (endpoints)</w:t>
      </w:r>
    </w:p>
    <w:p>
      <w:pPr>
        <w:pStyle w:val="ListParagraph"/>
        <w:numPr>
          <w:ilvl w:val="0"/>
          <w:numId w:val="2"/>
        </w:numPr>
        <w:spacing w:after="40" w:before="40"/>
      </w:pPr>
      <w:r>
        <w:rPr>
          <w:rFonts w:ascii="Arial" w:cs="Arial" w:eastAsia="Arial" w:hAnsi="Arial"/>
          <w:sz w:val="20"/>
          <w:szCs w:val="20"/>
        </w:rPr>
        <w:t xml:space="preserve">Todos los equipos de cómputo deben tener instalado y activo un agente de detección y respuesta (EDR) gestionado por el equipo de TI.</w:t>
      </w:r>
    </w:p>
    <w:p>
      <w:pPr>
        <w:pStyle w:val="ListParagraph"/>
        <w:numPr>
          <w:ilvl w:val="0"/>
          <w:numId w:val="2"/>
        </w:numPr>
        <w:spacing w:after="40" w:before="40"/>
      </w:pPr>
      <w:r>
        <w:rPr>
          <w:rFonts w:ascii="Arial" w:cs="Arial" w:eastAsia="Arial" w:hAnsi="Arial"/>
          <w:sz w:val="20"/>
          <w:szCs w:val="20"/>
        </w:rPr>
        <w:t xml:space="preserve">Los sistemas operativos y aplicaciones deben mantenerse actualizados. Los parches críticos (CVSS ≥ 9.0) deben aplicarse en un plazo máximo de 48 horas tras su publicación.</w:t>
      </w:r>
    </w:p>
    <w:p>
      <w:pPr>
        <w:pStyle w:val="ListParagraph"/>
        <w:numPr>
          <w:ilvl w:val="0"/>
          <w:numId w:val="2"/>
        </w:numPr>
        <w:spacing w:after="40" w:before="40"/>
      </w:pPr>
      <w:r>
        <w:rPr>
          <w:rFonts w:ascii="Arial" w:cs="Arial" w:eastAsia="Arial" w:hAnsi="Arial"/>
          <w:sz w:val="20"/>
          <w:szCs w:val="20"/>
        </w:rPr>
        <w:t xml:space="preserve">El cifrado de disco completo es obligatorio en todos los equipos portátiles y en los equipos que procesen información Confidencial o Restringida.</w:t>
      </w:r>
    </w:p>
    <w:p>
      <w:pPr>
        <w:pStyle w:val="ListParagraph"/>
        <w:numPr>
          <w:ilvl w:val="0"/>
          <w:numId w:val="2"/>
        </w:numPr>
        <w:spacing w:after="40" w:before="40"/>
      </w:pPr>
      <w:r>
        <w:rPr>
          <w:rFonts w:ascii="Arial" w:cs="Arial" w:eastAsia="Arial" w:hAnsi="Arial"/>
          <w:sz w:val="20"/>
          <w:szCs w:val="20"/>
        </w:rPr>
        <w:t xml:space="preserve">Los puertos USB innecesarios deben estar deshabilitados en los servidores. El uso de dispositivos de almacenamiento extraíbles en equipos de producción requiere autorización previa del responsable de TI.</w:t>
      </w:r>
    </w:p>
    <w:p>
      <w:pPr>
        <w:pStyle w:val="Heading2"/>
        <w:pBdr>
          <w:bottom w:val="single" w:color="2E75B6" w:sz="6" w:space="1"/>
        </w:pBdr>
        <w:spacing w:after="120" w:before="320"/>
      </w:pPr>
      <w:r>
        <w:rPr>
          <w:rFonts w:ascii="Arial" w:cs="Arial" w:eastAsia="Arial" w:hAnsi="Arial"/>
          <w:b/>
          <w:bCs/>
          <w:color w:val="1F3864"/>
          <w:sz w:val="24"/>
          <w:szCs w:val="24"/>
        </w:rPr>
        <w:t xml:space="preserve">7.3  Seguridad de la red</w:t>
      </w:r>
    </w:p>
    <w:p>
      <w:pPr>
        <w:pStyle w:val="ListParagraph"/>
        <w:numPr>
          <w:ilvl w:val="0"/>
          <w:numId w:val="2"/>
        </w:numPr>
        <w:spacing w:after="40" w:before="40"/>
      </w:pPr>
      <w:r>
        <w:rPr>
          <w:rFonts w:ascii="Arial" w:cs="Arial" w:eastAsia="Arial" w:hAnsi="Arial"/>
          <w:sz w:val="20"/>
          <w:szCs w:val="20"/>
        </w:rPr>
        <w:t xml:space="preserve">La red corporativa debe estar segmentada en zonas diferenciadas: red de usuarios, red de servidores, DMZ y VLAN de administración, separadas mediante firewall.</w:t>
      </w:r>
    </w:p>
    <w:p>
      <w:pPr>
        <w:pStyle w:val="ListParagraph"/>
        <w:numPr>
          <w:ilvl w:val="0"/>
          <w:numId w:val="2"/>
        </w:numPr>
        <w:spacing w:after="40" w:before="40"/>
      </w:pPr>
      <w:r>
        <w:rPr>
          <w:rFonts w:ascii="Arial" w:cs="Arial" w:eastAsia="Arial" w:hAnsi="Arial"/>
          <w:sz w:val="20"/>
          <w:szCs w:val="20"/>
        </w:rPr>
        <w:t xml:space="preserve">La política de firewall base es de denegación por defecto: solo se permite el tráfico explícitamente autorizado.</w:t>
      </w:r>
    </w:p>
    <w:p>
      <w:pPr>
        <w:pStyle w:val="ListParagraph"/>
        <w:numPr>
          <w:ilvl w:val="0"/>
          <w:numId w:val="2"/>
        </w:numPr>
        <w:spacing w:after="40" w:before="40"/>
      </w:pPr>
      <w:r>
        <w:rPr>
          <w:rFonts w:ascii="Arial" w:cs="Arial" w:eastAsia="Arial" w:hAnsi="Arial"/>
          <w:sz w:val="20"/>
          <w:szCs w:val="20"/>
        </w:rPr>
        <w:t xml:space="preserve">Todo acceso remoto a la red interna debe realizarse a través de una VPN con MFA activo, o mediante un servicio ZTNA equivalente.</w:t>
      </w:r>
    </w:p>
    <w:p>
      <w:pPr>
        <w:pStyle w:val="ListParagraph"/>
        <w:numPr>
          <w:ilvl w:val="0"/>
          <w:numId w:val="2"/>
        </w:numPr>
        <w:spacing w:after="40" w:before="40"/>
      </w:pPr>
      <w:r>
        <w:rPr>
          <w:rFonts w:ascii="Arial" w:cs="Arial" w:eastAsia="Arial" w:hAnsi="Arial"/>
          <w:sz w:val="20"/>
          <w:szCs w:val="20"/>
        </w:rPr>
        <w:t xml:space="preserve">Las redes Wi-Fi de invitados deben estar segregadas de la red corporativa y no deben tener acceso a los sistemas internos.</w:t>
      </w:r>
    </w:p>
    <w:p>
      <w:pPr>
        <w:pStyle w:val="Heading2"/>
        <w:pBdr>
          <w:bottom w:val="single" w:color="2E75B6" w:sz="6" w:space="1"/>
        </w:pBdr>
        <w:spacing w:after="120" w:before="320"/>
      </w:pPr>
      <w:r>
        <w:rPr>
          <w:rFonts w:ascii="Arial" w:cs="Arial" w:eastAsia="Arial" w:hAnsi="Arial"/>
          <w:b/>
          <w:bCs/>
          <w:color w:val="1F3864"/>
          <w:sz w:val="24"/>
          <w:szCs w:val="24"/>
        </w:rPr>
        <w:t xml:space="preserve">7.4  Gestión de respaldos</w:t>
      </w:r>
    </w:p>
    <w:p>
      <w:pPr>
        <w:pStyle w:val="ListParagraph"/>
        <w:numPr>
          <w:ilvl w:val="0"/>
          <w:numId w:val="2"/>
        </w:numPr>
        <w:spacing w:after="40" w:before="40"/>
      </w:pPr>
      <w:r>
        <w:rPr>
          <w:rFonts w:ascii="Arial" w:cs="Arial" w:eastAsia="Arial" w:hAnsi="Arial"/>
          <w:sz w:val="20"/>
          <w:szCs w:val="20"/>
        </w:rPr>
        <w:t xml:space="preserve">Los datos críticos deben respaldarse siguiendo la regla 3-2-1-1-0: tres copias, en dos medios distintos, con una copia fuera de las instalaciones, una copia offline o air-gapped, y cero errores verificados en las pruebas de restauración.</w:t>
      </w:r>
    </w:p>
    <w:p>
      <w:pPr>
        <w:pStyle w:val="ListParagraph"/>
        <w:numPr>
          <w:ilvl w:val="0"/>
          <w:numId w:val="2"/>
        </w:numPr>
        <w:spacing w:after="40" w:before="40"/>
      </w:pPr>
      <w:r>
        <w:rPr>
          <w:rFonts w:ascii="Arial" w:cs="Arial" w:eastAsia="Arial" w:hAnsi="Arial"/>
          <w:sz w:val="20"/>
          <w:szCs w:val="20"/>
        </w:rPr>
        <w:t xml:space="preserve">Los respaldos deben verificarse mediante pruebas de restauración al menos una vez por trimestre. Un respaldo no probado no es un respaldo válido.</w:t>
      </w:r>
    </w:p>
    <w:p>
      <w:pPr>
        <w:pStyle w:val="ListParagraph"/>
        <w:numPr>
          <w:ilvl w:val="0"/>
          <w:numId w:val="2"/>
        </w:numPr>
        <w:spacing w:after="40" w:before="40"/>
      </w:pPr>
      <w:r>
        <w:rPr>
          <w:rFonts w:ascii="Arial" w:cs="Arial" w:eastAsia="Arial" w:hAnsi="Arial"/>
          <w:sz w:val="20"/>
          <w:szCs w:val="20"/>
        </w:rPr>
        <w:t xml:space="preserve">Las copias de seguridad deben estar protegidas con las mismas medidas de seguridad que los datos originales o superiores.</w:t>
      </w:r>
    </w:p>
    <w:p>
      <w:pPr>
        <w:pStyle w:val="Heading2"/>
        <w:pBdr>
          <w:bottom w:val="single" w:color="2E75B6" w:sz="6" w:space="1"/>
        </w:pBdr>
        <w:spacing w:after="120" w:before="320"/>
      </w:pPr>
      <w:r>
        <w:rPr>
          <w:rFonts w:ascii="Arial" w:cs="Arial" w:eastAsia="Arial" w:hAnsi="Arial"/>
          <w:b/>
          <w:bCs/>
          <w:color w:val="1F3864"/>
          <w:sz w:val="24"/>
          <w:szCs w:val="24"/>
        </w:rPr>
        <w:t xml:space="preserve">7.5  Gestión de incidentes</w:t>
      </w:r>
    </w:p>
    <w:p>
      <w:pPr>
        <w:pStyle w:val="ListParagraph"/>
        <w:numPr>
          <w:ilvl w:val="0"/>
          <w:numId w:val="2"/>
        </w:numPr>
        <w:spacing w:after="40" w:before="40"/>
      </w:pPr>
      <w:r>
        <w:rPr>
          <w:rFonts w:ascii="Arial" w:cs="Arial" w:eastAsia="Arial" w:hAnsi="Arial"/>
          <w:sz w:val="20"/>
          <w:szCs w:val="20"/>
        </w:rPr>
        <w:t xml:space="preserve">Todo incidente de seguridad debe reportarse al responsable de TI dentro de las cuatro (4) horas siguientes a su detección.</w:t>
      </w:r>
    </w:p>
    <w:p>
      <w:pPr>
        <w:pStyle w:val="ListParagraph"/>
        <w:numPr>
          <w:ilvl w:val="0"/>
          <w:numId w:val="2"/>
        </w:numPr>
        <w:spacing w:after="40" w:before="40"/>
      </w:pPr>
      <w:r>
        <w:rPr>
          <w:rFonts w:ascii="Arial" w:cs="Arial" w:eastAsia="Arial" w:hAnsi="Arial"/>
          <w:sz w:val="20"/>
          <w:szCs w:val="20"/>
        </w:rPr>
        <w:t xml:space="preserve">Los incidentes críticos (ransomware, pérdida de datos de clientes, compromiso de cuentas administrativas) deben escalar a la alta dirección dentro de las dos (2) horas siguientes a su confirmación.</w:t>
      </w:r>
    </w:p>
    <w:p>
      <w:pPr>
        <w:pStyle w:val="ListParagraph"/>
        <w:numPr>
          <w:ilvl w:val="0"/>
          <w:numId w:val="2"/>
        </w:numPr>
        <w:spacing w:after="40" w:before="40"/>
      </w:pPr>
      <w:r>
        <w:rPr>
          <w:rFonts w:ascii="Arial" w:cs="Arial" w:eastAsia="Arial" w:hAnsi="Arial"/>
          <w:sz w:val="20"/>
          <w:szCs w:val="20"/>
        </w:rPr>
        <w:t xml:space="preserve">Cada incidente cerrado debe generar un análisis post-mortem documentado en la base de conocimientos, con causa raíz identificada y acciones correctivas definidas.</w:t>
      </w:r>
    </w:p>
    <w:p>
      <w:pPr>
        <w:pStyle w:val="Heading2"/>
        <w:pBdr>
          <w:bottom w:val="single" w:color="2E75B6" w:sz="6" w:space="1"/>
        </w:pBdr>
        <w:spacing w:after="120" w:before="320"/>
      </w:pPr>
      <w:r>
        <w:rPr>
          <w:rFonts w:ascii="Arial" w:cs="Arial" w:eastAsia="Arial" w:hAnsi="Arial"/>
          <w:b/>
          <w:bCs/>
          <w:color w:val="1F3864"/>
          <w:sz w:val="24"/>
          <w:szCs w:val="24"/>
        </w:rPr>
        <w:t xml:space="preserve">7.6  Capacitación y concienciación</w:t>
      </w:r>
    </w:p>
    <w:p>
      <w:pPr>
        <w:pStyle w:val="ListParagraph"/>
        <w:numPr>
          <w:ilvl w:val="0"/>
          <w:numId w:val="2"/>
        </w:numPr>
        <w:spacing w:after="40" w:before="40"/>
      </w:pPr>
      <w:r>
        <w:rPr>
          <w:rFonts w:ascii="Arial" w:cs="Arial" w:eastAsia="Arial" w:hAnsi="Arial"/>
          <w:sz w:val="20"/>
          <w:szCs w:val="20"/>
        </w:rPr>
        <w:t xml:space="preserve">Todos los empleados deben completar al menos una sesión de capacitación en ciberseguridad por año. El equipo de TI puede programar sesiones adicionales cuando el contexto de amenazas lo justifique.</w:t>
      </w:r>
    </w:p>
    <w:p>
      <w:pPr>
        <w:pStyle w:val="ListParagraph"/>
        <w:numPr>
          <w:ilvl w:val="0"/>
          <w:numId w:val="2"/>
        </w:numPr>
        <w:spacing w:after="40" w:before="40"/>
      </w:pPr>
      <w:r>
        <w:rPr>
          <w:rFonts w:ascii="Arial" w:cs="Arial" w:eastAsia="Arial" w:hAnsi="Arial"/>
          <w:sz w:val="20"/>
          <w:szCs w:val="20"/>
        </w:rPr>
        <w:t xml:space="preserve">Los contenidos mínimos de la capacitación anual incluyen: phishing e ingeniería social, contraseñas seguras, uso aceptable de recursos tecnológicos, procedimiento de reporte de incidentes y protección de datos personales.</w:t>
      </w:r>
    </w:p>
    <w:p>
      <w:pPr>
        <w:pStyle w:val="ListParagraph"/>
        <w:numPr>
          <w:ilvl w:val="0"/>
          <w:numId w:val="2"/>
        </w:numPr>
        <w:spacing w:after="40" w:before="40"/>
      </w:pPr>
      <w:r>
        <w:rPr>
          <w:rFonts w:ascii="Arial" w:cs="Arial" w:eastAsia="Arial" w:hAnsi="Arial"/>
          <w:sz w:val="20"/>
          <w:szCs w:val="20"/>
        </w:rPr>
        <w:t xml:space="preserve">La organización podrá realizar ejercicios de phishing simulado sin previo aviso para evaluar el nivel de concienciación del personal.</w:t>
      </w:r>
    </w:p>
    <w:p>
      <w:pPr>
        <w:pStyle w:val="Heading1"/>
        <w:shd w:fill="1F3864" w:val="clear"/>
        <w:spacing w:after="160" w:before="280"/>
        <w:ind w:left="160" w:right="160"/>
      </w:pPr>
      <w:r>
        <w:rPr>
          <w:rFonts w:ascii="Arial" w:cs="Arial" w:eastAsia="Arial" w:hAnsi="Arial"/>
          <w:b/>
          <w:bCs/>
          <w:color w:val="FFFFFF"/>
          <w:sz w:val="28"/>
          <w:szCs w:val="28"/>
        </w:rPr>
        <w:t xml:space="preserve">8.  Uso aceptable de recursos tecnológicos</w:t>
      </w:r>
    </w:p>
    <w:p>
      <w:pPr>
        <w:spacing w:after="60" w:before="60"/>
        <w:jc w:val="both"/>
      </w:pPr>
      <w:r>
        <w:rPr>
          <w:rFonts w:ascii="Arial" w:cs="Arial" w:eastAsia="Arial" w:hAnsi="Arial"/>
          <w:sz w:val="20"/>
          <w:szCs w:val="20"/>
        </w:rPr>
        <w:t xml:space="preserve">Los recursos tecnológicos de la organización (equipos, redes, sistemas, correo electrónico e Internet) son de uso laboral. Se permite un uso personal ocasional siempre que no interfiera con las obligaciones laborales, no comprometa la seguridad y no implique el acceso a contenido prohibido.</w:t>
      </w:r>
    </w:p>
    <w:p>
      <w:pPr>
        <w:spacing w:after="40" w:before="40"/>
      </w:pPr>
      <w:r>
        <w:t xml:space="preserve"/>
      </w:r>
    </w:p>
    <w:p>
      <w:pPr>
        <w:spacing w:after="60" w:before="60"/>
        <w:jc w:val="both"/>
      </w:pPr>
      <w:r>
        <w:rPr>
          <w:rFonts w:ascii="Arial" w:cs="Arial" w:eastAsia="Arial" w:hAnsi="Arial"/>
          <w:sz w:val="20"/>
          <w:szCs w:val="20"/>
        </w:rPr>
        <w:t xml:space="preserve">Queda expresamente prohibido:</w:t>
      </w:r>
    </w:p>
    <w:p>
      <w:pPr>
        <w:pStyle w:val="ListParagraph"/>
        <w:numPr>
          <w:ilvl w:val="0"/>
          <w:numId w:val="2"/>
        </w:numPr>
        <w:spacing w:after="40" w:before="40"/>
      </w:pPr>
      <w:r>
        <w:rPr>
          <w:rFonts w:ascii="Arial" w:cs="Arial" w:eastAsia="Arial" w:hAnsi="Arial"/>
          <w:sz w:val="20"/>
          <w:szCs w:val="20"/>
        </w:rPr>
        <w:t xml:space="preserve">Instalar software no autorizado por el equipo de TI en equipos corporativos.</w:t>
      </w:r>
    </w:p>
    <w:p>
      <w:pPr>
        <w:pStyle w:val="ListParagraph"/>
        <w:numPr>
          <w:ilvl w:val="0"/>
          <w:numId w:val="2"/>
        </w:numPr>
        <w:spacing w:after="40" w:before="40"/>
      </w:pPr>
      <w:r>
        <w:rPr>
          <w:rFonts w:ascii="Arial" w:cs="Arial" w:eastAsia="Arial" w:hAnsi="Arial"/>
          <w:sz w:val="20"/>
          <w:szCs w:val="20"/>
        </w:rPr>
        <w:t xml:space="preserve">Acceder, descargar o distribuir contenido ilegal, pornográfico o que incite a la violencia o la discriminación.</w:t>
      </w:r>
    </w:p>
    <w:p>
      <w:pPr>
        <w:pStyle w:val="ListParagraph"/>
        <w:numPr>
          <w:ilvl w:val="0"/>
          <w:numId w:val="2"/>
        </w:numPr>
        <w:spacing w:after="40" w:before="40"/>
      </w:pPr>
      <w:r>
        <w:rPr>
          <w:rFonts w:ascii="Arial" w:cs="Arial" w:eastAsia="Arial" w:hAnsi="Arial"/>
          <w:sz w:val="20"/>
          <w:szCs w:val="20"/>
        </w:rPr>
        <w:t xml:space="preserve">Utilizar los recursos de la organización para actividades de minería de criptomonedas, actividades comerciales personales o cualquier fin ajeno al objeto de la empresa.</w:t>
      </w:r>
    </w:p>
    <w:p>
      <w:pPr>
        <w:pStyle w:val="ListParagraph"/>
        <w:numPr>
          <w:ilvl w:val="0"/>
          <w:numId w:val="2"/>
        </w:numPr>
        <w:spacing w:after="40" w:before="40"/>
      </w:pPr>
      <w:r>
        <w:rPr>
          <w:rFonts w:ascii="Arial" w:cs="Arial" w:eastAsia="Arial" w:hAnsi="Arial"/>
          <w:sz w:val="20"/>
          <w:szCs w:val="20"/>
        </w:rPr>
        <w:t xml:space="preserve">Conectar dispositivos personales a la red corporativa sin autorización previa del equipo de TI.</w:t>
      </w:r>
    </w:p>
    <w:p>
      <w:pPr>
        <w:pStyle w:val="ListParagraph"/>
        <w:numPr>
          <w:ilvl w:val="0"/>
          <w:numId w:val="2"/>
        </w:numPr>
        <w:spacing w:after="40" w:before="40"/>
      </w:pPr>
      <w:r>
        <w:rPr>
          <w:rFonts w:ascii="Arial" w:cs="Arial" w:eastAsia="Arial" w:hAnsi="Arial"/>
          <w:sz w:val="20"/>
          <w:szCs w:val="20"/>
        </w:rPr>
        <w:t xml:space="preserve">Desactivar o eludir los controles de seguridad instalados en los equipos corporativos.</w:t>
      </w:r>
    </w:p>
    <w:p>
      <w:pPr>
        <w:pStyle w:val="ListParagraph"/>
        <w:numPr>
          <w:ilvl w:val="0"/>
          <w:numId w:val="2"/>
        </w:numPr>
        <w:spacing w:after="40" w:before="40"/>
      </w:pPr>
      <w:r>
        <w:rPr>
          <w:rFonts w:ascii="Arial" w:cs="Arial" w:eastAsia="Arial" w:hAnsi="Arial"/>
          <w:sz w:val="20"/>
          <w:szCs w:val="20"/>
        </w:rPr>
        <w:t xml:space="preserve">Divulgar, compartir o publicar información Confidencial o Restringida de la organización a través de canales no autorizados, incluyendo aplicaciones de mensajería personal.</w:t>
      </w:r>
    </w:p>
    <w:p>
      <w:pPr>
        <w:pStyle w:val="Heading1"/>
        <w:shd w:fill="1F3864" w:val="clear"/>
        <w:spacing w:after="160" w:before="280"/>
        <w:ind w:left="160" w:right="160"/>
      </w:pPr>
      <w:r>
        <w:rPr>
          <w:rFonts w:ascii="Arial" w:cs="Arial" w:eastAsia="Arial" w:hAnsi="Arial"/>
          <w:b/>
          <w:bCs/>
          <w:color w:val="FFFFFF"/>
          <w:sz w:val="28"/>
          <w:szCs w:val="28"/>
        </w:rPr>
        <w:t xml:space="preserve">9.  Protección de datos personales</w:t>
      </w:r>
    </w:p>
    <w:p>
      <w:pPr>
        <w:spacing w:after="60" w:before="60"/>
        <w:jc w:val="both"/>
      </w:pPr>
      <w:r>
        <w:rPr>
          <w:rFonts w:ascii="Arial" w:cs="Arial" w:eastAsia="Arial" w:hAnsi="Arial"/>
          <w:sz w:val="20"/>
          <w:szCs w:val="20"/>
        </w:rPr>
        <w:t xml:space="preserve">El tratamiento de datos personales en [Nombre de la empresa] se rige por la Ley 1581 de 2012, el Decreto 1377 de 2013 y demás normativa vigente en Colombia. Los principios aplicables son: legalidad, finalidad, libertad, veracidad, transparencia, acceso y circulación restringida, seguridad y confidencialidad.</w:t>
      </w:r>
    </w:p>
    <w:p>
      <w:pPr>
        <w:spacing w:after="40" w:before="40"/>
      </w:pPr>
      <w:r>
        <w:t xml:space="preserve"/>
      </w:r>
    </w:p>
    <w:p>
      <w:pPr>
        <w:spacing w:after="60" w:before="60"/>
        <w:jc w:val="both"/>
      </w:pPr>
      <w:r>
        <w:rPr>
          <w:rFonts w:ascii="Arial" w:cs="Arial" w:eastAsia="Arial" w:hAnsi="Arial"/>
          <w:sz w:val="20"/>
          <w:szCs w:val="20"/>
        </w:rPr>
        <w:t xml:space="preserve">Todo empleado que en el ejercicio de sus funciones acceda a datos personales de clientes, empleados o terceros está obligado a:</w:t>
      </w:r>
    </w:p>
    <w:p>
      <w:pPr>
        <w:pStyle w:val="ListParagraph"/>
        <w:numPr>
          <w:ilvl w:val="0"/>
          <w:numId w:val="2"/>
        </w:numPr>
        <w:spacing w:after="40" w:before="40"/>
      </w:pPr>
      <w:r>
        <w:rPr>
          <w:rFonts w:ascii="Arial" w:cs="Arial" w:eastAsia="Arial" w:hAnsi="Arial"/>
          <w:sz w:val="20"/>
          <w:szCs w:val="20"/>
        </w:rPr>
        <w:t xml:space="preserve">Tratar dichos datos únicamente para las finalidades para las que fueron recolectados.</w:t>
      </w:r>
    </w:p>
    <w:p>
      <w:pPr>
        <w:pStyle w:val="ListParagraph"/>
        <w:numPr>
          <w:ilvl w:val="0"/>
          <w:numId w:val="2"/>
        </w:numPr>
        <w:spacing w:after="40" w:before="40"/>
      </w:pPr>
      <w:r>
        <w:rPr>
          <w:rFonts w:ascii="Arial" w:cs="Arial" w:eastAsia="Arial" w:hAnsi="Arial"/>
          <w:sz w:val="20"/>
          <w:szCs w:val="20"/>
        </w:rPr>
        <w:t xml:space="preserve">No divulgarlos a terceros no autorizados ni utilizarlos para fines personales.</w:t>
      </w:r>
    </w:p>
    <w:p>
      <w:pPr>
        <w:pStyle w:val="ListParagraph"/>
        <w:numPr>
          <w:ilvl w:val="0"/>
          <w:numId w:val="2"/>
        </w:numPr>
        <w:spacing w:after="40" w:before="40"/>
      </w:pPr>
      <w:r>
        <w:rPr>
          <w:rFonts w:ascii="Arial" w:cs="Arial" w:eastAsia="Arial" w:hAnsi="Arial"/>
          <w:sz w:val="20"/>
          <w:szCs w:val="20"/>
        </w:rPr>
        <w:t xml:space="preserve">Reportar cualquier sospecha de pérdida, filtración o acceso no autorizado a datos personales en el plazo más breve posible.</w:t>
      </w:r>
    </w:p>
    <w:p>
      <w:pPr>
        <w:spacing w:after="40" w:before="4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2E75B6" w:sz="1"/>
              <w:left w:val="single" w:color="2E75B6" w:sz="12"/>
              <w:bottom w:val="single" w:color="FFFFFF" w:sz="1"/>
              <w:right w:val="single" w:color="FFFFFF" w:sz="1"/>
            </w:tcBorders>
            <w:shd w:fill="D6E4F7" w:val="clear"/>
            <w:tcMar>
              <w:top w:type="dxa" w:w="80"/>
              <w:left w:type="dxa" w:w="200"/>
              <w:bottom w:type="dxa" w:w="20"/>
              <w:right w:type="dxa" w:w="120"/>
            </w:tcMar>
          </w:tcPr>
          <w:p>
            <w:r>
              <w:rPr>
                <w:rFonts w:ascii="Arial" w:cs="Arial" w:eastAsia="Arial" w:hAnsi="Arial"/>
                <w:b/>
                <w:bCs/>
                <w:color w:val="1F3864"/>
                <w:sz w:val="18"/>
                <w:szCs w:val="18"/>
              </w:rPr>
              <w:t xml:space="preserve">⚠️  Aviso legal</w:t>
            </w:r>
          </w:p>
        </w:tc>
      </w:tr>
      <w:tr>
        <w:tc>
          <w:tcPr>
            <w:tcBorders>
              <w:top w:val="single" w:color="FFFFFF" w:sz="1"/>
              <w:left w:val="single" w:color="2E75B6" w:sz="12"/>
              <w:bottom w:val="single" w:color="2E75B6" w:sz="1"/>
              <w:right w:val="single" w:color="FFFFFF" w:sz="1"/>
            </w:tcBorders>
            <w:shd w:fill="D6E4F7" w:val="clear"/>
            <w:tcMar>
              <w:top w:type="dxa" w:w="20"/>
              <w:left w:type="dxa" w:w="200"/>
              <w:bottom w:type="dxa" w:w="80"/>
              <w:right w:type="dxa" w:w="120"/>
            </w:tcMar>
          </w:tcPr>
          <w:p>
            <w:pPr>
              <w:jc w:val="both"/>
            </w:pPr>
            <w:r>
              <w:rPr>
                <w:rFonts w:ascii="Arial" w:cs="Arial" w:eastAsia="Arial" w:hAnsi="Arial"/>
                <w:sz w:val="18"/>
                <w:szCs w:val="18"/>
              </w:rPr>
              <w:t xml:space="preserve">El incumplimiento de las disposiciones en materia de protección de datos personales puede generar responsabilidad administrativa ante la Superintendencia de Industria y Comercio (SIC), además de las consecuencias disciplinarias internas establecidas en esta política.</w:t>
            </w:r>
          </w:p>
        </w:tc>
      </w:tr>
    </w:tbl>
    <w:p>
      <w:pPr>
        <w:pStyle w:val="Heading1"/>
        <w:shd w:fill="1F3864" w:val="clear"/>
        <w:spacing w:after="160" w:before="280"/>
        <w:ind w:left="160" w:right="160"/>
      </w:pPr>
      <w:r>
        <w:rPr>
          <w:rFonts w:ascii="Arial" w:cs="Arial" w:eastAsia="Arial" w:hAnsi="Arial"/>
          <w:b/>
          <w:bCs/>
          <w:color w:val="FFFFFF"/>
          <w:sz w:val="28"/>
          <w:szCs w:val="28"/>
        </w:rPr>
        <w:t xml:space="preserve">10.  Sanciones por incumplimiento</w:t>
      </w:r>
    </w:p>
    <w:p>
      <w:pPr>
        <w:spacing w:after="60" w:before="60"/>
        <w:jc w:val="both"/>
      </w:pPr>
      <w:r>
        <w:rPr>
          <w:rFonts w:ascii="Arial" w:cs="Arial" w:eastAsia="Arial" w:hAnsi="Arial"/>
          <w:sz w:val="20"/>
          <w:szCs w:val="20"/>
        </w:rPr>
        <w:t xml:space="preserve">El incumplimiento de esta política podrá dar lugar a medidas disciplinarias proporcionales a la gravedad de la infracción, que pueden incluir:</w:t>
      </w:r>
    </w:p>
    <w:p>
      <w:pPr>
        <w:spacing w:after="40" w:before="40"/>
      </w:pPr>
      <w:r>
        <w:t xml:space="preserve"/>
      </w:r>
    </w:p>
    <w:p>
      <w:pPr>
        <w:spacing w:after="60" w:before="60"/>
        <w:jc w:val="both"/>
      </w:pPr>
      <w:r>
        <w:rPr>
          <w:rFonts w:ascii="Arial" w:cs="Arial" w:eastAsia="Arial" w:hAnsi="Arial"/>
          <w:b/>
          <w:bCs/>
          <w:sz w:val="20"/>
          <w:szCs w:val="20"/>
        </w:rPr>
        <w:t xml:space="preserve">Incumplimientos leves </w:t>
      </w:r>
      <w:r>
        <w:rPr>
          <w:rFonts w:ascii="Arial" w:cs="Arial" w:eastAsia="Arial" w:hAnsi="Arial"/>
          <w:sz w:val="20"/>
          <w:szCs w:val="20"/>
        </w:rPr>
        <w:t xml:space="preserve">(primer incidente, sin impacto operativo ni de seguridad):</w:t>
      </w:r>
    </w:p>
    <w:p>
      <w:pPr>
        <w:pStyle w:val="ListParagraph"/>
        <w:numPr>
          <w:ilvl w:val="0"/>
          <w:numId w:val="2"/>
        </w:numPr>
        <w:spacing w:after="40" w:before="40"/>
      </w:pPr>
      <w:r>
        <w:rPr>
          <w:rFonts w:ascii="Arial" w:cs="Arial" w:eastAsia="Arial" w:hAnsi="Arial"/>
          <w:sz w:val="20"/>
          <w:szCs w:val="20"/>
        </w:rPr>
        <w:t xml:space="preserve">Llamado de atención verbal documentado.</w:t>
      </w:r>
    </w:p>
    <w:p>
      <w:pPr>
        <w:pStyle w:val="ListParagraph"/>
        <w:numPr>
          <w:ilvl w:val="0"/>
          <w:numId w:val="2"/>
        </w:numPr>
        <w:spacing w:after="40" w:before="40"/>
      </w:pPr>
      <w:r>
        <w:rPr>
          <w:rFonts w:ascii="Arial" w:cs="Arial" w:eastAsia="Arial" w:hAnsi="Arial"/>
          <w:sz w:val="20"/>
          <w:szCs w:val="20"/>
        </w:rPr>
        <w:t xml:space="preserve">Capacitación remedial obligatoria.</w:t>
      </w:r>
    </w:p>
    <w:p>
      <w:pPr>
        <w:spacing w:after="40" w:before="40"/>
      </w:pPr>
      <w:r>
        <w:t xml:space="preserve"/>
      </w:r>
    </w:p>
    <w:p>
      <w:pPr>
        <w:spacing w:after="60" w:before="60"/>
        <w:jc w:val="both"/>
      </w:pPr>
      <w:r>
        <w:rPr>
          <w:rFonts w:ascii="Arial" w:cs="Arial" w:eastAsia="Arial" w:hAnsi="Arial"/>
          <w:b/>
          <w:bCs/>
          <w:sz w:val="20"/>
          <w:szCs w:val="20"/>
        </w:rPr>
        <w:t xml:space="preserve">Incumplimientos graves </w:t>
      </w:r>
      <w:r>
        <w:rPr>
          <w:rFonts w:ascii="Arial" w:cs="Arial" w:eastAsia="Arial" w:hAnsi="Arial"/>
          <w:sz w:val="20"/>
          <w:szCs w:val="20"/>
        </w:rPr>
        <w:t xml:space="preserve">(reincidencia, impacto operativo o exposición de datos):</w:t>
      </w:r>
    </w:p>
    <w:p>
      <w:pPr>
        <w:pStyle w:val="ListParagraph"/>
        <w:numPr>
          <w:ilvl w:val="0"/>
          <w:numId w:val="2"/>
        </w:numPr>
        <w:spacing w:after="40" w:before="40"/>
      </w:pPr>
      <w:r>
        <w:rPr>
          <w:rFonts w:ascii="Arial" w:cs="Arial" w:eastAsia="Arial" w:hAnsi="Arial"/>
          <w:sz w:val="20"/>
          <w:szCs w:val="20"/>
        </w:rPr>
        <w:t xml:space="preserve">Llamado de atención escrito con registro en hoja de vida.</w:t>
      </w:r>
    </w:p>
    <w:p>
      <w:pPr>
        <w:pStyle w:val="ListParagraph"/>
        <w:numPr>
          <w:ilvl w:val="0"/>
          <w:numId w:val="2"/>
        </w:numPr>
        <w:spacing w:after="40" w:before="40"/>
      </w:pPr>
      <w:r>
        <w:rPr>
          <w:rFonts w:ascii="Arial" w:cs="Arial" w:eastAsia="Arial" w:hAnsi="Arial"/>
          <w:sz w:val="20"/>
          <w:szCs w:val="20"/>
        </w:rPr>
        <w:t xml:space="preserve">Suspensión temporal del acceso a sistemas.</w:t>
      </w:r>
    </w:p>
    <w:p>
      <w:pPr>
        <w:pStyle w:val="ListParagraph"/>
        <w:numPr>
          <w:ilvl w:val="0"/>
          <w:numId w:val="2"/>
        </w:numPr>
        <w:spacing w:after="40" w:before="40"/>
      </w:pPr>
      <w:r>
        <w:rPr>
          <w:rFonts w:ascii="Arial" w:cs="Arial" w:eastAsia="Arial" w:hAnsi="Arial"/>
          <w:sz w:val="20"/>
          <w:szCs w:val="20"/>
        </w:rPr>
        <w:t xml:space="preserve">Restricción de privilegios.</w:t>
      </w:r>
    </w:p>
    <w:p>
      <w:pPr>
        <w:spacing w:after="40" w:before="40"/>
      </w:pPr>
      <w:r>
        <w:t xml:space="preserve"/>
      </w:r>
    </w:p>
    <w:p>
      <w:pPr>
        <w:spacing w:after="60" w:before="60"/>
        <w:jc w:val="both"/>
      </w:pPr>
      <w:r>
        <w:rPr>
          <w:rFonts w:ascii="Arial" w:cs="Arial" w:eastAsia="Arial" w:hAnsi="Arial"/>
          <w:b/>
          <w:bCs/>
          <w:sz w:val="20"/>
          <w:szCs w:val="20"/>
        </w:rPr>
        <w:t xml:space="preserve">Incumplimientos muy graves </w:t>
      </w:r>
      <w:r>
        <w:rPr>
          <w:rFonts w:ascii="Arial" w:cs="Arial" w:eastAsia="Arial" w:hAnsi="Arial"/>
          <w:sz w:val="20"/>
          <w:szCs w:val="20"/>
        </w:rPr>
        <w:t xml:space="preserve">(acción deliberada, pérdida de datos críticos, fraude):</w:t>
      </w:r>
    </w:p>
    <w:p>
      <w:pPr>
        <w:pStyle w:val="ListParagraph"/>
        <w:numPr>
          <w:ilvl w:val="0"/>
          <w:numId w:val="2"/>
        </w:numPr>
        <w:spacing w:after="40" w:before="40"/>
      </w:pPr>
      <w:r>
        <w:rPr>
          <w:rFonts w:ascii="Arial" w:cs="Arial" w:eastAsia="Arial" w:hAnsi="Arial"/>
          <w:sz w:val="20"/>
          <w:szCs w:val="20"/>
        </w:rPr>
        <w:t xml:space="preserve">Terminación del contrato laboral o de prestación de servicios, con o sin justa causa según lo determine la investigación interna.</w:t>
      </w:r>
    </w:p>
    <w:p>
      <w:pPr>
        <w:pStyle w:val="ListParagraph"/>
        <w:numPr>
          <w:ilvl w:val="0"/>
          <w:numId w:val="2"/>
        </w:numPr>
        <w:spacing w:after="40" w:before="40"/>
      </w:pPr>
      <w:r>
        <w:rPr>
          <w:rFonts w:ascii="Arial" w:cs="Arial" w:eastAsia="Arial" w:hAnsi="Arial"/>
          <w:sz w:val="20"/>
          <w:szCs w:val="20"/>
        </w:rPr>
        <w:t xml:space="preserve">Acciones legales civiles y/o penales según la normativa colombiana vigente.</w:t>
      </w:r>
    </w:p>
    <w:p>
      <w:pPr>
        <w:spacing w:after="40" w:before="40"/>
      </w:pPr>
      <w:r>
        <w:t xml:space="preserve"/>
      </w:r>
    </w:p>
    <w:p>
      <w:pPr>
        <w:spacing w:after="60" w:before="60"/>
        <w:jc w:val="both"/>
      </w:pPr>
      <w:r>
        <w:rPr>
          <w:rFonts w:ascii="Arial" w:cs="Arial" w:eastAsia="Arial" w:hAnsi="Arial"/>
          <w:sz w:val="20"/>
          <w:szCs w:val="20"/>
        </w:rPr>
        <w:t xml:space="preserve">Las sanciones se aplicarán conforme al reglamento interno de trabajo y al procedimiento disciplinario de la organización, garantizando el debido proceso.</w:t>
      </w:r>
    </w:p>
    <w:p>
      <w:pPr>
        <w:pStyle w:val="Heading1"/>
        <w:shd w:fill="1F3864" w:val="clear"/>
        <w:spacing w:after="160" w:before="280"/>
        <w:ind w:left="160" w:right="160"/>
      </w:pPr>
      <w:r>
        <w:rPr>
          <w:rFonts w:ascii="Arial" w:cs="Arial" w:eastAsia="Arial" w:hAnsi="Arial"/>
          <w:b/>
          <w:bCs/>
          <w:color w:val="FFFFFF"/>
          <w:sz w:val="28"/>
          <w:szCs w:val="28"/>
        </w:rPr>
        <w:t xml:space="preserve">11.  Gestión de excepciones</w:t>
      </w:r>
    </w:p>
    <w:p>
      <w:pPr>
        <w:spacing w:after="60" w:before="60"/>
        <w:jc w:val="both"/>
      </w:pPr>
      <w:r>
        <w:rPr>
          <w:rFonts w:ascii="Arial" w:cs="Arial" w:eastAsia="Arial" w:hAnsi="Arial"/>
          <w:sz w:val="20"/>
          <w:szCs w:val="20"/>
        </w:rPr>
        <w:t xml:space="preserve">Cualquier excepción a los controles establecidos en esta política debe ser solicitada formalmente por escrito al responsable de TI, con la debida justificación de negocio. Las excepciones deben ser aprobadas por la alta dirección, tienen una vigencia máxima de noventa (90) días y están sujetas a revisión. Toda excepción aprobada debe quedar documentada en el sistema de gestión de solicitudes (ITSM) de la organización.</w:t>
      </w:r>
    </w:p>
    <w:p>
      <w:pPr>
        <w:pStyle w:val="Heading1"/>
        <w:shd w:fill="1F3864" w:val="clear"/>
        <w:spacing w:after="160" w:before="280"/>
        <w:ind w:left="160" w:right="160"/>
      </w:pPr>
      <w:r>
        <w:rPr>
          <w:rFonts w:ascii="Arial" w:cs="Arial" w:eastAsia="Arial" w:hAnsi="Arial"/>
          <w:b/>
          <w:bCs/>
          <w:color w:val="FFFFFF"/>
          <w:sz w:val="28"/>
          <w:szCs w:val="28"/>
        </w:rPr>
        <w:t xml:space="preserve">12.  Revisión y vigencia</w:t>
      </w:r>
    </w:p>
    <w:p>
      <w:pPr>
        <w:spacing w:after="60" w:before="60"/>
        <w:jc w:val="both"/>
      </w:pPr>
      <w:r>
        <w:rPr>
          <w:rFonts w:ascii="Arial" w:cs="Arial" w:eastAsia="Arial" w:hAnsi="Arial"/>
          <w:sz w:val="20"/>
          <w:szCs w:val="20"/>
        </w:rPr>
        <w:t xml:space="preserve">Esta política entra en vigencia en la fecha de su aprobación por la alta dirección y tiene una vigencia de dos (2) años, al cabo de los cuales debe ser formalmente revisada y actualizada.</w:t>
      </w:r>
    </w:p>
    <w:p>
      <w:pPr>
        <w:spacing w:after="40" w:before="40"/>
      </w:pPr>
      <w:r>
        <w:t xml:space="preserve"/>
      </w:r>
    </w:p>
    <w:p>
      <w:pPr>
        <w:spacing w:after="60" w:before="60"/>
        <w:jc w:val="both"/>
      </w:pPr>
      <w:r>
        <w:rPr>
          <w:rFonts w:ascii="Arial" w:cs="Arial" w:eastAsia="Arial" w:hAnsi="Arial"/>
          <w:sz w:val="20"/>
          <w:szCs w:val="20"/>
        </w:rPr>
        <w:t xml:space="preserve">Adicionalmente, una revisión extraordinaria será obligatoria ante cualquiera de los siguientes eventos:</w:t>
      </w:r>
    </w:p>
    <w:p>
      <w:pPr>
        <w:pStyle w:val="ListParagraph"/>
        <w:numPr>
          <w:ilvl w:val="0"/>
          <w:numId w:val="2"/>
        </w:numPr>
        <w:spacing w:after="40" w:before="40"/>
      </w:pPr>
      <w:r>
        <w:rPr>
          <w:rFonts w:ascii="Arial" w:cs="Arial" w:eastAsia="Arial" w:hAnsi="Arial"/>
          <w:sz w:val="20"/>
          <w:szCs w:val="20"/>
        </w:rPr>
        <w:t xml:space="preserve">Cambio significativo en la infraestructura tecnológica o en el modelo de negocio de la organización.</w:t>
      </w:r>
    </w:p>
    <w:p>
      <w:pPr>
        <w:pStyle w:val="ListParagraph"/>
        <w:numPr>
          <w:ilvl w:val="0"/>
          <w:numId w:val="2"/>
        </w:numPr>
        <w:spacing w:after="40" w:before="40"/>
      </w:pPr>
      <w:r>
        <w:rPr>
          <w:rFonts w:ascii="Arial" w:cs="Arial" w:eastAsia="Arial" w:hAnsi="Arial"/>
          <w:sz w:val="20"/>
          <w:szCs w:val="20"/>
        </w:rPr>
        <w:t xml:space="preserve">Ocurrencia de un incidente de seguridad mayor que exponga deficiencias en los controles actuales.</w:t>
      </w:r>
    </w:p>
    <w:p>
      <w:pPr>
        <w:pStyle w:val="ListParagraph"/>
        <w:numPr>
          <w:ilvl w:val="0"/>
          <w:numId w:val="2"/>
        </w:numPr>
        <w:spacing w:after="40" w:before="40"/>
      </w:pPr>
      <w:r>
        <w:rPr>
          <w:rFonts w:ascii="Arial" w:cs="Arial" w:eastAsia="Arial" w:hAnsi="Arial"/>
          <w:sz w:val="20"/>
          <w:szCs w:val="20"/>
        </w:rPr>
        <w:t xml:space="preserve">Cambios en la legislación aplicable en materia de seguridad de la información o protección de datos.</w:t>
      </w:r>
    </w:p>
    <w:p>
      <w:pPr>
        <w:pStyle w:val="ListParagraph"/>
        <w:numPr>
          <w:ilvl w:val="0"/>
          <w:numId w:val="2"/>
        </w:numPr>
        <w:spacing w:after="40" w:before="40"/>
      </w:pPr>
      <w:r>
        <w:rPr>
          <w:rFonts w:ascii="Arial" w:cs="Arial" w:eastAsia="Arial" w:hAnsi="Arial"/>
          <w:sz w:val="20"/>
          <w:szCs w:val="20"/>
        </w:rPr>
        <w:t xml:space="preserve">Adopción de nuevas tecnologías o servicios en la nube que amplíen la superficie de exposición de la organización.</w:t>
      </w:r>
    </w:p>
    <w:p>
      <w:pPr>
        <w:pStyle w:val="Heading1"/>
        <w:shd w:fill="1F3864" w:val="clear"/>
        <w:spacing w:after="160" w:before="280"/>
        <w:ind w:left="160" w:right="160"/>
      </w:pPr>
      <w:r>
        <w:rPr>
          <w:rFonts w:ascii="Arial" w:cs="Arial" w:eastAsia="Arial" w:hAnsi="Arial"/>
          <w:b/>
          <w:bCs/>
          <w:color w:val="FFFFFF"/>
          <w:sz w:val="28"/>
          <w:szCs w:val="28"/>
        </w:rPr>
        <w:t xml:space="preserve">13.  Documentos relacionados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0"/>
        <w:gridCol w:w="507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Documento</w:t>
            </w:r>
          </w:p>
        </w:tc>
        <w:tc>
          <w:tcPr>
            <w:tcW w:type="dxa" w:w="507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Propósito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Procedimiento de gestión de incidentes</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Define los pasos para detectar, contener, erradicar y recuperarse de incidentes de seguridad.</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Procedimiento de gestión de accesos</w:t>
            </w:r>
          </w:p>
        </w:tc>
        <w:tc>
          <w:tcPr>
            <w:tcW w:type="dxa" w:w="507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Regula la creación, modificación y eliminación de cuentas de usuario y privilegios de acceso.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Plan de Recuperación de Desastres (DRP)</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Establece los procedimientos para restablecer la infraestructura tecnológica ante eventos disruptivos.</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Política de uso aceptable</w:t>
            </w:r>
          </w:p>
        </w:tc>
        <w:tc>
          <w:tcPr>
            <w:tcW w:type="dxa" w:w="507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Detalla las condiciones de uso permitido y prohibido de los recursos tecnológicos de la organización.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Política de respaldos y recuperación</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Define la frecuencia, método, verificación y retención de las copias de seguridad.</w:t>
            </w:r>
          </w:p>
        </w:tc>
      </w:tr>
      <w:tr>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9"/>
                <w:szCs w:val="19"/>
              </w:rPr>
              <w:t xml:space="preserve">Aviso de privacidad</w:t>
            </w:r>
          </w:p>
        </w:tc>
        <w:tc>
          <w:tcPr>
            <w:tcW w:type="dxa" w:w="507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val="false"/>
                <w:bCs w:val="false"/>
                <w:sz w:val="19"/>
                <w:szCs w:val="19"/>
              </w:rPr>
              <w:t xml:space="preserve">Informa a los titulares sobre el tratamiento de sus datos personales conforme a la Ley 1581/2012.</w:t>
            </w:r>
          </w:p>
        </w:tc>
      </w:tr>
    </w:tbl>
    <w:p>
      <w:pPr>
        <w:spacing w:after="40" w:before="40"/>
      </w:pPr>
      <w:r>
        <w:t xml:space="preserve"/>
      </w:r>
    </w:p>
    <w:p>
      <w:pPr>
        <w:pStyle w:val="Heading1"/>
        <w:shd w:fill="1F3864" w:val="clear"/>
        <w:spacing w:after="160" w:before="280"/>
        <w:ind w:left="160" w:right="160"/>
      </w:pPr>
      <w:r>
        <w:rPr>
          <w:rFonts w:ascii="Arial" w:cs="Arial" w:eastAsia="Arial" w:hAnsi="Arial"/>
          <w:b/>
          <w:bCs/>
          <w:color w:val="FFFFFF"/>
          <w:sz w:val="28"/>
          <w:szCs w:val="28"/>
        </w:rPr>
        <w:t xml:space="preserve">14.  Aprobación</w:t>
      </w:r>
    </w:p>
    <w:p>
      <w:pPr>
        <w:spacing w:after="40" w:before="4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Elaboró</w:t>
            </w:r>
          </w:p>
        </w:tc>
        <w:tc>
          <w:tcPr>
            <w:tcW w:type="dxa" w:w="3023"/>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Revisó</w:t>
            </w:r>
          </w:p>
        </w:tc>
        <w:tc>
          <w:tcPr>
            <w:tcW w:type="dxa" w:w="3024"/>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Aprobó</w:t>
            </w:r>
          </w:p>
        </w:tc>
      </w:tr>
      <w:tr>
        <w:tc>
          <w:tcPr>
            <w:tcW w:type="dxa" w:w="302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0" w:before="0"/>
            </w:pPr>
            <w:r>
              <w:t xml:space="preserve"/>
            </w:r>
          </w:p>
          <w:p>
            <w:pPr>
              <w:pBdr>
                <w:bottom w:val="single" w:color="2E75B6" w:sz="4"/>
              </w:pBdr>
              <w:spacing w:after="60"/>
            </w:pPr>
            <w:r>
              <w:t xml:space="preserve"/>
            </w:r>
          </w:p>
          <w:p>
            <w:pPr>
              <w:jc w:val="center"/>
            </w:pPr>
            <w:r>
              <w:rPr>
                <w:rFonts w:ascii="Arial" w:cs="Arial" w:eastAsia="Arial" w:hAnsi="Arial"/>
                <w:i/>
                <w:iCs/>
                <w:color w:val="888888"/>
                <w:sz w:val="16"/>
                <w:szCs w:val="16"/>
              </w:rPr>
              <w:t xml:space="preserve">Responsable de TI / Seguridad</w:t>
            </w:r>
          </w:p>
          <w:p>
            <w:pPr>
              <w:jc w:val="center"/>
            </w:pPr>
            <w:r>
              <w:rPr>
                <w:rFonts w:ascii="Arial" w:cs="Arial" w:eastAsia="Arial" w:hAnsi="Arial"/>
                <w:sz w:val="18"/>
                <w:szCs w:val="18"/>
              </w:rPr>
              <w:t xml:space="preserve">[Nombre — Cargo]</w:t>
            </w:r>
          </w:p>
          <w:p>
            <w:pPr>
              <w:jc w:val="center"/>
            </w:pPr>
            <w:r>
              <w:rPr>
                <w:rFonts w:ascii="Arial" w:cs="Arial" w:eastAsia="Arial" w:hAnsi="Arial"/>
                <w:color w:val="888888"/>
                <w:sz w:val="17"/>
                <w:szCs w:val="17"/>
              </w:rPr>
              <w:t xml:space="preserve">Fecha: _______________</w:t>
            </w:r>
          </w:p>
        </w:tc>
        <w:tc>
          <w:tcPr>
            <w:tcW w:type="dxa" w:w="302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0" w:before="0"/>
            </w:pPr>
            <w:r>
              <w:t xml:space="preserve"/>
            </w:r>
          </w:p>
          <w:p>
            <w:pPr>
              <w:pBdr>
                <w:bottom w:val="single" w:color="2E75B6" w:sz="4"/>
              </w:pBdr>
              <w:spacing w:after="60"/>
            </w:pPr>
            <w:r>
              <w:t xml:space="preserve"/>
            </w:r>
          </w:p>
          <w:p>
            <w:pPr>
              <w:jc w:val="center"/>
            </w:pPr>
            <w:r>
              <w:rPr>
                <w:rFonts w:ascii="Arial" w:cs="Arial" w:eastAsia="Arial" w:hAnsi="Arial"/>
                <w:i/>
                <w:iCs/>
                <w:color w:val="888888"/>
                <w:sz w:val="16"/>
                <w:szCs w:val="16"/>
              </w:rPr>
              <w:t xml:space="preserve">Gerencia / Dirección de área</w:t>
            </w:r>
          </w:p>
          <w:p>
            <w:pPr>
              <w:jc w:val="center"/>
            </w:pPr>
            <w:r>
              <w:rPr>
                <w:rFonts w:ascii="Arial" w:cs="Arial" w:eastAsia="Arial" w:hAnsi="Arial"/>
                <w:sz w:val="18"/>
                <w:szCs w:val="18"/>
              </w:rPr>
              <w:t xml:space="preserve">[Nombre — Cargo]</w:t>
            </w:r>
          </w:p>
          <w:p>
            <w:pPr>
              <w:jc w:val="center"/>
            </w:pPr>
            <w:r>
              <w:rPr>
                <w:rFonts w:ascii="Arial" w:cs="Arial" w:eastAsia="Arial" w:hAnsi="Arial"/>
                <w:color w:val="888888"/>
                <w:sz w:val="17"/>
                <w:szCs w:val="17"/>
              </w:rPr>
              <w:t xml:space="preserve">Fecha: _______________</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0" w:before="0"/>
            </w:pPr>
            <w:r>
              <w:t xml:space="preserve"/>
            </w:r>
          </w:p>
          <w:p>
            <w:pPr>
              <w:pBdr>
                <w:bottom w:val="single" w:color="2E75B6" w:sz="4"/>
              </w:pBdr>
              <w:spacing w:after="60"/>
            </w:pPr>
            <w:r>
              <w:t xml:space="preserve"/>
            </w:r>
          </w:p>
          <w:p>
            <w:pPr>
              <w:jc w:val="center"/>
            </w:pPr>
            <w:r>
              <w:rPr>
                <w:rFonts w:ascii="Arial" w:cs="Arial" w:eastAsia="Arial" w:hAnsi="Arial"/>
                <w:i/>
                <w:iCs/>
                <w:color w:val="888888"/>
                <w:sz w:val="16"/>
                <w:szCs w:val="16"/>
              </w:rPr>
              <w:t xml:space="preserve">Representante Legal / Gerente General</w:t>
            </w:r>
          </w:p>
          <w:p>
            <w:pPr>
              <w:jc w:val="center"/>
            </w:pPr>
            <w:r>
              <w:rPr>
                <w:rFonts w:ascii="Arial" w:cs="Arial" w:eastAsia="Arial" w:hAnsi="Arial"/>
                <w:sz w:val="18"/>
                <w:szCs w:val="18"/>
              </w:rPr>
              <w:t xml:space="preserve">[Nombre — Cargo]</w:t>
            </w:r>
          </w:p>
          <w:p>
            <w:pPr>
              <w:jc w:val="center"/>
            </w:pPr>
            <w:r>
              <w:rPr>
                <w:rFonts w:ascii="Arial" w:cs="Arial" w:eastAsia="Arial" w:hAnsi="Arial"/>
                <w:color w:val="888888"/>
                <w:sz w:val="17"/>
                <w:szCs w:val="17"/>
              </w:rPr>
              <w:t xml:space="preserve">Fecha: _______________</w:t>
            </w:r>
          </w:p>
        </w:tc>
      </w:tr>
    </w:tbl>
    <w:p>
      <w:pPr>
        <w:spacing w:after="40" w:before="40"/>
      </w:pPr>
      <w:r>
        <w:t xml:space="preserve"/>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40"/>
    </w:pPr>
    <w:r>
      <w:rPr>
        <w:rFonts w:ascii="Arial" w:cs="Arial" w:eastAsia="Arial" w:hAnsi="Arial"/>
        <w:color w:val="888888"/>
        <w:sz w:val="16"/>
        <w:szCs w:val="16"/>
      </w:rPr>
      <w:t xml:space="preserve">Versión 1.0  |  Confidencial — uso interno  |  Página </w:t>
    </w:r>
    <w:r>
      <w:rPr>
        <w:rFonts w:ascii="Arial" w:cs="Arial" w:eastAsia="Arial" w:hAnsi="Arial"/>
        <w:color w:val="888888"/>
        <w:sz w:val="16"/>
        <w:szCs w:val="16"/>
      </w:rPr>
      <w:t xml:space="preserve"> [pág.]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40"/>
    </w:pPr>
    <w:r>
      <w:rPr>
        <w:rFonts w:ascii="Arial" w:cs="Arial" w:eastAsia="Arial" w:hAnsi="Arial"/>
        <w:b/>
        <w:bCs/>
        <w:color w:val="1F3864"/>
        <w:sz w:val="18"/>
        <w:szCs w:val="18"/>
      </w:rPr>
      <w:t xml:space="preserve">[NOMBRE DE LA EMPRESA]</w:t>
    </w:r>
    <w:r>
      <w:rPr>
        <w:rFonts w:ascii="Arial" w:cs="Arial" w:eastAsia="Arial" w:hAnsi="Arial"/>
        <w:color w:val="666666"/>
        <w:sz w:val="18"/>
        <w:szCs w:val="18"/>
      </w:rPr>
      <w:t xml:space="preserve">   |   Política de Ciberseguridad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2026-05-14T14:15:31.779Z</dcterms:created>
  <dcterms:modified xsi:type="dcterms:W3CDTF">2026-05-14T14:15:31.780Z</dcterms:modified>
</cp:coreProperties>
</file>

<file path=docProps/custom.xml><?xml version="1.0" encoding="utf-8"?>
<Properties xmlns="http://schemas.openxmlformats.org/officeDocument/2006/custom-properties" xmlns:vt="http://schemas.openxmlformats.org/officeDocument/2006/docPropsVTypes"/>
</file>