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A6634" w14:textId="77777777" w:rsidR="00951385" w:rsidRDefault="00000000">
      <w:pPr>
        <w:spacing w:before="1600" w:after="100"/>
        <w:jc w:val="center"/>
      </w:pPr>
      <w:r>
        <w:rPr>
          <w:rFonts w:ascii="Calibri" w:eastAsia="Calibri" w:hAnsi="Calibri" w:cs="Calibri"/>
          <w:i/>
          <w:iCs/>
          <w:color w:val="5F5E5A"/>
          <w:sz w:val="18"/>
          <w:szCs w:val="18"/>
        </w:rPr>
        <w:t>[LOGOTIPO DE LA ORGANIZACIÓN]</w:t>
      </w:r>
    </w:p>
    <w:p w14:paraId="586A6635" w14:textId="77777777" w:rsidR="00951385" w:rsidRDefault="00000000">
      <w:pPr>
        <w:spacing w:before="1400" w:after="200"/>
        <w:jc w:val="center"/>
      </w:pPr>
      <w:r>
        <w:rPr>
          <w:rFonts w:ascii="Calibri" w:eastAsia="Calibri" w:hAnsi="Calibri" w:cs="Calibri"/>
          <w:b/>
          <w:bCs/>
          <w:color w:val="1F3864"/>
          <w:sz w:val="48"/>
          <w:szCs w:val="48"/>
        </w:rPr>
        <w:t>POLÍTICA DE DISPOSICIÓN FINAL</w:t>
      </w:r>
    </w:p>
    <w:p w14:paraId="586A6636" w14:textId="77777777" w:rsidR="00951385" w:rsidRDefault="00000000">
      <w:pPr>
        <w:spacing w:after="800"/>
        <w:jc w:val="center"/>
      </w:pPr>
      <w:r>
        <w:rPr>
          <w:rFonts w:ascii="Calibri" w:eastAsia="Calibri" w:hAnsi="Calibri" w:cs="Calibri"/>
          <w:b/>
          <w:bCs/>
          <w:color w:val="185FA5"/>
          <w:sz w:val="36"/>
          <w:szCs w:val="36"/>
        </w:rPr>
        <w:t>DE ACTIVOS TECNOLÓGICOS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9"/>
      </w:tblGrid>
      <w:tr w:rsidR="00951385" w14:paraId="586A6639"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D5E8F0"/>
            <w:tcMar>
              <w:top w:w="80" w:type="dxa"/>
              <w:left w:w="120" w:type="dxa"/>
              <w:bottom w:w="80" w:type="dxa"/>
              <w:right w:w="120" w:type="dxa"/>
            </w:tcMar>
            <w:vAlign w:val="center"/>
          </w:tcPr>
          <w:p w14:paraId="586A6637" w14:textId="77777777" w:rsidR="00951385" w:rsidRDefault="00000000">
            <w:r>
              <w:rPr>
                <w:rFonts w:ascii="Calibri" w:eastAsia="Calibri" w:hAnsi="Calibri" w:cs="Calibri"/>
                <w:b/>
                <w:bCs/>
                <w:color w:val="1F3864"/>
                <w:sz w:val="18"/>
                <w:szCs w:val="18"/>
              </w:rPr>
              <w:t>Código del documento</w:t>
            </w:r>
          </w:p>
        </w:tc>
        <w:tc>
          <w:tcPr>
            <w:tcW w:w="6439"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vAlign w:val="center"/>
          </w:tcPr>
          <w:p w14:paraId="586A6638" w14:textId="77777777" w:rsidR="00951385" w:rsidRDefault="00951385"/>
        </w:tc>
      </w:tr>
      <w:tr w:rsidR="00951385" w14:paraId="586A663C"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D5E8F0"/>
            <w:tcMar>
              <w:top w:w="80" w:type="dxa"/>
              <w:left w:w="120" w:type="dxa"/>
              <w:bottom w:w="80" w:type="dxa"/>
              <w:right w:w="120" w:type="dxa"/>
            </w:tcMar>
            <w:vAlign w:val="center"/>
          </w:tcPr>
          <w:p w14:paraId="586A663A" w14:textId="77777777" w:rsidR="00951385" w:rsidRDefault="00000000">
            <w:r>
              <w:rPr>
                <w:rFonts w:ascii="Calibri" w:eastAsia="Calibri" w:hAnsi="Calibri" w:cs="Calibri"/>
                <w:b/>
                <w:bCs/>
                <w:color w:val="1F3864"/>
                <w:sz w:val="18"/>
                <w:szCs w:val="18"/>
              </w:rPr>
              <w:t>Versión</w:t>
            </w:r>
          </w:p>
        </w:tc>
        <w:tc>
          <w:tcPr>
            <w:tcW w:w="6439"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vAlign w:val="center"/>
          </w:tcPr>
          <w:p w14:paraId="586A663B" w14:textId="77777777" w:rsidR="00951385" w:rsidRDefault="00951385"/>
        </w:tc>
      </w:tr>
      <w:tr w:rsidR="00951385" w14:paraId="586A663F"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D5E8F0"/>
            <w:tcMar>
              <w:top w:w="80" w:type="dxa"/>
              <w:left w:w="120" w:type="dxa"/>
              <w:bottom w:w="80" w:type="dxa"/>
              <w:right w:w="120" w:type="dxa"/>
            </w:tcMar>
            <w:vAlign w:val="center"/>
          </w:tcPr>
          <w:p w14:paraId="586A663D" w14:textId="77777777" w:rsidR="00951385" w:rsidRDefault="00000000">
            <w:r>
              <w:rPr>
                <w:rFonts w:ascii="Calibri" w:eastAsia="Calibri" w:hAnsi="Calibri" w:cs="Calibri"/>
                <w:b/>
                <w:bCs/>
                <w:color w:val="1F3864"/>
                <w:sz w:val="18"/>
                <w:szCs w:val="18"/>
              </w:rPr>
              <w:t>Fecha de emisión</w:t>
            </w:r>
          </w:p>
        </w:tc>
        <w:tc>
          <w:tcPr>
            <w:tcW w:w="6439"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vAlign w:val="center"/>
          </w:tcPr>
          <w:p w14:paraId="586A663E" w14:textId="77777777" w:rsidR="00951385" w:rsidRDefault="00951385"/>
        </w:tc>
      </w:tr>
      <w:tr w:rsidR="00951385" w14:paraId="586A6642"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D5E8F0"/>
            <w:tcMar>
              <w:top w:w="80" w:type="dxa"/>
              <w:left w:w="120" w:type="dxa"/>
              <w:bottom w:w="80" w:type="dxa"/>
              <w:right w:w="120" w:type="dxa"/>
            </w:tcMar>
            <w:vAlign w:val="center"/>
          </w:tcPr>
          <w:p w14:paraId="586A6640" w14:textId="77777777" w:rsidR="00951385" w:rsidRDefault="00000000">
            <w:r>
              <w:rPr>
                <w:rFonts w:ascii="Calibri" w:eastAsia="Calibri" w:hAnsi="Calibri" w:cs="Calibri"/>
                <w:b/>
                <w:bCs/>
                <w:color w:val="1F3864"/>
                <w:sz w:val="18"/>
                <w:szCs w:val="18"/>
              </w:rPr>
              <w:t>Elaborado por</w:t>
            </w:r>
          </w:p>
        </w:tc>
        <w:tc>
          <w:tcPr>
            <w:tcW w:w="6439"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vAlign w:val="center"/>
          </w:tcPr>
          <w:p w14:paraId="586A6641" w14:textId="77777777" w:rsidR="00951385" w:rsidRDefault="00951385"/>
        </w:tc>
      </w:tr>
      <w:tr w:rsidR="00951385" w14:paraId="586A6645"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D5E8F0"/>
            <w:tcMar>
              <w:top w:w="80" w:type="dxa"/>
              <w:left w:w="120" w:type="dxa"/>
              <w:bottom w:w="80" w:type="dxa"/>
              <w:right w:w="120" w:type="dxa"/>
            </w:tcMar>
            <w:vAlign w:val="center"/>
          </w:tcPr>
          <w:p w14:paraId="586A6643" w14:textId="77777777" w:rsidR="00951385" w:rsidRDefault="00000000">
            <w:r>
              <w:rPr>
                <w:rFonts w:ascii="Calibri" w:eastAsia="Calibri" w:hAnsi="Calibri" w:cs="Calibri"/>
                <w:b/>
                <w:bCs/>
                <w:color w:val="1F3864"/>
                <w:sz w:val="18"/>
                <w:szCs w:val="18"/>
              </w:rPr>
              <w:t>Revisado por</w:t>
            </w:r>
          </w:p>
        </w:tc>
        <w:tc>
          <w:tcPr>
            <w:tcW w:w="6439"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vAlign w:val="center"/>
          </w:tcPr>
          <w:p w14:paraId="586A6644" w14:textId="77777777" w:rsidR="00951385" w:rsidRDefault="00951385"/>
        </w:tc>
      </w:tr>
      <w:tr w:rsidR="00951385" w14:paraId="586A6648"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D5E8F0"/>
            <w:tcMar>
              <w:top w:w="80" w:type="dxa"/>
              <w:left w:w="120" w:type="dxa"/>
              <w:bottom w:w="80" w:type="dxa"/>
              <w:right w:w="120" w:type="dxa"/>
            </w:tcMar>
            <w:vAlign w:val="center"/>
          </w:tcPr>
          <w:p w14:paraId="586A6646" w14:textId="77777777" w:rsidR="00951385" w:rsidRDefault="00000000">
            <w:r>
              <w:rPr>
                <w:rFonts w:ascii="Calibri" w:eastAsia="Calibri" w:hAnsi="Calibri" w:cs="Calibri"/>
                <w:b/>
                <w:bCs/>
                <w:color w:val="1F3864"/>
                <w:sz w:val="18"/>
                <w:szCs w:val="18"/>
              </w:rPr>
              <w:t>Aprobado por</w:t>
            </w:r>
          </w:p>
        </w:tc>
        <w:tc>
          <w:tcPr>
            <w:tcW w:w="6439"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vAlign w:val="center"/>
          </w:tcPr>
          <w:p w14:paraId="586A6647" w14:textId="77777777" w:rsidR="00951385" w:rsidRDefault="00951385"/>
        </w:tc>
      </w:tr>
      <w:tr w:rsidR="00951385" w14:paraId="586A664B"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D5E8F0"/>
            <w:tcMar>
              <w:top w:w="80" w:type="dxa"/>
              <w:left w:w="120" w:type="dxa"/>
              <w:bottom w:w="80" w:type="dxa"/>
              <w:right w:w="120" w:type="dxa"/>
            </w:tcMar>
            <w:vAlign w:val="center"/>
          </w:tcPr>
          <w:p w14:paraId="586A6649" w14:textId="77777777" w:rsidR="00951385" w:rsidRDefault="00000000">
            <w:r>
              <w:rPr>
                <w:rFonts w:ascii="Calibri" w:eastAsia="Calibri" w:hAnsi="Calibri" w:cs="Calibri"/>
                <w:b/>
                <w:bCs/>
                <w:color w:val="1F3864"/>
                <w:sz w:val="18"/>
                <w:szCs w:val="18"/>
              </w:rPr>
              <w:t>Próxima revisión</w:t>
            </w:r>
          </w:p>
        </w:tc>
        <w:tc>
          <w:tcPr>
            <w:tcW w:w="6439"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vAlign w:val="center"/>
          </w:tcPr>
          <w:p w14:paraId="586A664A" w14:textId="77777777" w:rsidR="00951385" w:rsidRDefault="00951385"/>
        </w:tc>
      </w:tr>
    </w:tbl>
    <w:p w14:paraId="586A664C" w14:textId="77777777" w:rsidR="00951385" w:rsidRDefault="00000000">
      <w:r>
        <w:br w:type="page"/>
      </w:r>
    </w:p>
    <w:p w14:paraId="586A664D" w14:textId="77777777" w:rsidR="00951385" w:rsidRDefault="00000000">
      <w:pPr>
        <w:pStyle w:val="Ttulo1"/>
        <w:pBdr>
          <w:bottom w:val="single" w:sz="4" w:space="4" w:color="185FA5"/>
        </w:pBdr>
        <w:spacing w:before="380" w:after="160"/>
      </w:pPr>
      <w:r>
        <w:rPr>
          <w:rFonts w:ascii="Calibri" w:eastAsia="Calibri" w:hAnsi="Calibri" w:cs="Calibri"/>
          <w:b/>
          <w:bCs/>
          <w:color w:val="1F3864"/>
          <w:sz w:val="26"/>
          <w:szCs w:val="26"/>
        </w:rPr>
        <w:lastRenderedPageBreak/>
        <w:t>1. Objetivo</w:t>
      </w:r>
    </w:p>
    <w:p w14:paraId="586A664E" w14:textId="77777777" w:rsidR="00951385" w:rsidRDefault="00000000">
      <w:pPr>
        <w:spacing w:after="160" w:line="300" w:lineRule="auto"/>
        <w:jc w:val="both"/>
      </w:pPr>
      <w:r>
        <w:t>Establecer los criterios, requisitos y responsabilidades que rigen la disposición final de todo activo tecnológico de la organización, con el fin de garantizar que la información contenida en dichos activos sea eliminada de forma segura e irrecuperable antes de que el activo salga del control directo de la organización, independientemente de su destino final.</w:t>
      </w:r>
    </w:p>
    <w:p w14:paraId="586A664F" w14:textId="77777777" w:rsidR="00951385" w:rsidRDefault="00000000">
      <w:pPr>
        <w:pStyle w:val="Ttulo1"/>
        <w:pBdr>
          <w:bottom w:val="single" w:sz="4" w:space="4" w:color="185FA5"/>
        </w:pBdr>
        <w:spacing w:before="380" w:after="160"/>
      </w:pPr>
      <w:r>
        <w:rPr>
          <w:rFonts w:ascii="Calibri" w:eastAsia="Calibri" w:hAnsi="Calibri" w:cs="Calibri"/>
          <w:b/>
          <w:bCs/>
          <w:color w:val="1F3864"/>
          <w:sz w:val="26"/>
          <w:szCs w:val="26"/>
        </w:rPr>
        <w:t>2. Alcance</w:t>
      </w:r>
    </w:p>
    <w:p w14:paraId="586A6650" w14:textId="77777777" w:rsidR="00951385" w:rsidRDefault="00000000">
      <w:pPr>
        <w:spacing w:after="160" w:line="300" w:lineRule="auto"/>
        <w:jc w:val="both"/>
      </w:pPr>
      <w:r>
        <w:t xml:space="preserve">Esta política aplica a todo activo </w:t>
      </w:r>
      <w:proofErr w:type="gramStart"/>
      <w:r>
        <w:t>tecnológico propiedad</w:t>
      </w:r>
      <w:proofErr w:type="gramEnd"/>
      <w:r>
        <w:t xml:space="preserve"> de la organización o bajo su custodia, con independencia de su tipo, marca o destino final. Se incluyen, entre otros:</w:t>
      </w:r>
    </w:p>
    <w:p w14:paraId="586A6651" w14:textId="77777777" w:rsidR="00951385" w:rsidRDefault="00000000">
      <w:pPr>
        <w:pStyle w:val="Prrafodelista"/>
        <w:numPr>
          <w:ilvl w:val="0"/>
          <w:numId w:val="1"/>
        </w:numPr>
        <w:spacing w:after="100" w:line="280" w:lineRule="auto"/>
      </w:pPr>
      <w:r>
        <w:t>Equipos de escritorio y portátiles.</w:t>
      </w:r>
    </w:p>
    <w:p w14:paraId="586A6652" w14:textId="77777777" w:rsidR="00951385" w:rsidRDefault="00000000">
      <w:pPr>
        <w:pStyle w:val="Prrafodelista"/>
        <w:numPr>
          <w:ilvl w:val="0"/>
          <w:numId w:val="1"/>
        </w:numPr>
        <w:spacing w:after="100" w:line="280" w:lineRule="auto"/>
      </w:pPr>
      <w:r>
        <w:t>Servidores físicos y sus componentes de almacenamiento.</w:t>
      </w:r>
    </w:p>
    <w:p w14:paraId="586A6653" w14:textId="77777777" w:rsidR="00951385" w:rsidRDefault="00000000">
      <w:pPr>
        <w:pStyle w:val="Prrafodelista"/>
        <w:numPr>
          <w:ilvl w:val="0"/>
          <w:numId w:val="1"/>
        </w:numPr>
        <w:spacing w:after="100" w:line="280" w:lineRule="auto"/>
      </w:pPr>
      <w:r>
        <w:t>Dispositivos móviles corporativos.</w:t>
      </w:r>
    </w:p>
    <w:p w14:paraId="586A6654" w14:textId="77777777" w:rsidR="00951385" w:rsidRDefault="00000000">
      <w:pPr>
        <w:pStyle w:val="Prrafodelista"/>
        <w:numPr>
          <w:ilvl w:val="0"/>
          <w:numId w:val="1"/>
        </w:numPr>
        <w:spacing w:after="100" w:line="280" w:lineRule="auto"/>
      </w:pPr>
      <w:r>
        <w:t>Medios de almacenamiento independientes: discos duros externos, memorias USB, cintas de respaldo y tarjetas de memoria.</w:t>
      </w:r>
    </w:p>
    <w:p w14:paraId="586A6655" w14:textId="77777777" w:rsidR="00951385" w:rsidRDefault="00000000">
      <w:pPr>
        <w:pStyle w:val="Prrafodelista"/>
        <w:numPr>
          <w:ilvl w:val="0"/>
          <w:numId w:val="1"/>
        </w:numPr>
        <w:spacing w:after="100" w:line="280" w:lineRule="auto"/>
      </w:pPr>
      <w:r>
        <w:t>Equipos de red y de impresión con almacenamiento interno (por ejemplo, discos en fotocopiadoras multifuncionales).</w:t>
      </w:r>
    </w:p>
    <w:p w14:paraId="586A6656" w14:textId="77777777" w:rsidR="00951385" w:rsidRDefault="00000000">
      <w:pPr>
        <w:spacing w:after="160" w:line="300" w:lineRule="auto"/>
        <w:jc w:val="both"/>
      </w:pPr>
      <w:r>
        <w:t>Aplica a todo colaborador, contratista y proveedor externo que intervenga en cualquier etapa del proceso de disposición final, incluyendo la recolección, el transporte, el almacenamiento temporal, el borrado, la destrucción y la certificación del proceso.</w:t>
      </w:r>
    </w:p>
    <w:p w14:paraId="586A6657" w14:textId="77777777" w:rsidR="00951385" w:rsidRDefault="00000000">
      <w:pPr>
        <w:pStyle w:val="Ttulo1"/>
        <w:pBdr>
          <w:bottom w:val="single" w:sz="4" w:space="4" w:color="185FA5"/>
        </w:pBdr>
        <w:spacing w:before="380" w:after="160"/>
      </w:pPr>
      <w:r>
        <w:rPr>
          <w:rFonts w:ascii="Calibri" w:eastAsia="Calibri" w:hAnsi="Calibri" w:cs="Calibri"/>
          <w:b/>
          <w:bCs/>
          <w:color w:val="1F3864"/>
          <w:sz w:val="26"/>
          <w:szCs w:val="26"/>
        </w:rPr>
        <w:t>3. Definiciones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9"/>
      </w:tblGrid>
      <w:tr w:rsidR="00951385" w14:paraId="586A665A" w14:textId="77777777">
        <w:tblPrEx>
          <w:tblCellMar>
            <w:top w:w="0" w:type="dxa"/>
            <w:bottom w:w="0" w:type="dxa"/>
          </w:tblCellMar>
        </w:tblPrEx>
        <w:trPr>
          <w:tblHeader/>
        </w:trPr>
        <w:tc>
          <w:tcPr>
            <w:tcW w:w="2600" w:type="dxa"/>
            <w:tcBorders>
              <w:top w:val="single" w:sz="4" w:space="0" w:color="D3D1C7"/>
              <w:left w:val="single" w:sz="4" w:space="0" w:color="D3D1C7"/>
              <w:bottom w:val="single" w:sz="4" w:space="0" w:color="D3D1C7"/>
              <w:right w:val="single" w:sz="4" w:space="0" w:color="D3D1C7"/>
            </w:tcBorders>
            <w:shd w:val="clear" w:color="auto" w:fill="185FA5"/>
            <w:tcMar>
              <w:top w:w="80" w:type="dxa"/>
              <w:left w:w="100" w:type="dxa"/>
              <w:bottom w:w="80" w:type="dxa"/>
              <w:right w:w="100" w:type="dxa"/>
            </w:tcMar>
            <w:vAlign w:val="center"/>
          </w:tcPr>
          <w:p w14:paraId="586A6658" w14:textId="77777777" w:rsidR="00951385" w:rsidRDefault="00000000">
            <w:pPr>
              <w:jc w:val="center"/>
            </w:pPr>
            <w:r>
              <w:rPr>
                <w:rFonts w:ascii="Calibri" w:eastAsia="Calibri" w:hAnsi="Calibri" w:cs="Calibri"/>
                <w:b/>
                <w:bCs/>
                <w:color w:val="FFFFFF"/>
                <w:sz w:val="18"/>
                <w:szCs w:val="18"/>
              </w:rPr>
              <w:t>Término</w:t>
            </w:r>
          </w:p>
        </w:tc>
        <w:tc>
          <w:tcPr>
            <w:tcW w:w="7039" w:type="dxa"/>
            <w:tcBorders>
              <w:top w:val="single" w:sz="4" w:space="0" w:color="D3D1C7"/>
              <w:left w:val="single" w:sz="4" w:space="0" w:color="D3D1C7"/>
              <w:bottom w:val="single" w:sz="4" w:space="0" w:color="D3D1C7"/>
              <w:right w:val="single" w:sz="4" w:space="0" w:color="D3D1C7"/>
            </w:tcBorders>
            <w:shd w:val="clear" w:color="auto" w:fill="185FA5"/>
            <w:tcMar>
              <w:top w:w="80" w:type="dxa"/>
              <w:left w:w="100" w:type="dxa"/>
              <w:bottom w:w="80" w:type="dxa"/>
              <w:right w:w="100" w:type="dxa"/>
            </w:tcMar>
            <w:vAlign w:val="center"/>
          </w:tcPr>
          <w:p w14:paraId="586A6659" w14:textId="77777777" w:rsidR="00951385" w:rsidRDefault="00000000">
            <w:pPr>
              <w:jc w:val="center"/>
            </w:pPr>
            <w:r>
              <w:rPr>
                <w:rFonts w:ascii="Calibri" w:eastAsia="Calibri" w:hAnsi="Calibri" w:cs="Calibri"/>
                <w:b/>
                <w:bCs/>
                <w:color w:val="FFFFFF"/>
                <w:sz w:val="18"/>
                <w:szCs w:val="18"/>
              </w:rPr>
              <w:t>Definición</w:t>
            </w:r>
          </w:p>
        </w:tc>
      </w:tr>
      <w:tr w:rsidR="00951385" w14:paraId="586A665D" w14:textId="77777777">
        <w:tblPrEx>
          <w:tblCellMar>
            <w:top w:w="0" w:type="dxa"/>
            <w:bottom w:w="0" w:type="dxa"/>
          </w:tblCellMar>
        </w:tblPrEx>
        <w:tc>
          <w:tcPr>
            <w:tcW w:w="26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vAlign w:val="center"/>
          </w:tcPr>
          <w:p w14:paraId="586A665B" w14:textId="77777777" w:rsidR="00951385" w:rsidRDefault="00000000">
            <w:r>
              <w:rPr>
                <w:b/>
                <w:bCs/>
                <w:sz w:val="18"/>
                <w:szCs w:val="18"/>
              </w:rPr>
              <w:t>Disposición final</w:t>
            </w:r>
          </w:p>
        </w:tc>
        <w:tc>
          <w:tcPr>
            <w:tcW w:w="7039"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vAlign w:val="center"/>
          </w:tcPr>
          <w:p w14:paraId="586A665C" w14:textId="77777777" w:rsidR="00951385" w:rsidRDefault="00000000">
            <w:r>
              <w:rPr>
                <w:sz w:val="18"/>
                <w:szCs w:val="18"/>
              </w:rPr>
              <w:t>Conjunto de actividades mediante las cuales un activo tecnológico deja de estar en servicio dentro de la organización, garantizando la eliminación segura de la información que contenía, con independencia de que el activo sea vendido, donado, reciclado, devuelto a un proveedor o desechado.</w:t>
            </w:r>
          </w:p>
        </w:tc>
      </w:tr>
      <w:tr w:rsidR="00951385" w14:paraId="586A6660" w14:textId="77777777">
        <w:tblPrEx>
          <w:tblCellMar>
            <w:top w:w="0" w:type="dxa"/>
            <w:bottom w:w="0" w:type="dxa"/>
          </w:tblCellMar>
        </w:tblPrEx>
        <w:tc>
          <w:tcPr>
            <w:tcW w:w="26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vAlign w:val="center"/>
          </w:tcPr>
          <w:p w14:paraId="586A665E" w14:textId="77777777" w:rsidR="00951385" w:rsidRDefault="00000000">
            <w:r>
              <w:rPr>
                <w:b/>
                <w:bCs/>
                <w:sz w:val="18"/>
                <w:szCs w:val="18"/>
              </w:rPr>
              <w:t>Borrado seguro</w:t>
            </w:r>
          </w:p>
        </w:tc>
        <w:tc>
          <w:tcPr>
            <w:tcW w:w="7039"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vAlign w:val="center"/>
          </w:tcPr>
          <w:p w14:paraId="586A665F" w14:textId="77777777" w:rsidR="00951385" w:rsidRDefault="00000000">
            <w:r>
              <w:rPr>
                <w:sz w:val="18"/>
                <w:szCs w:val="18"/>
              </w:rPr>
              <w:t>Proceso mediante el cual la información almacenada en un dispositivo es eliminada de forma que resulte irrecuperable, incluso mediante herramientas especializadas de recuperación de datos.</w:t>
            </w:r>
          </w:p>
        </w:tc>
      </w:tr>
      <w:tr w:rsidR="00951385" w14:paraId="586A6663" w14:textId="77777777">
        <w:tblPrEx>
          <w:tblCellMar>
            <w:top w:w="0" w:type="dxa"/>
            <w:bottom w:w="0" w:type="dxa"/>
          </w:tblCellMar>
        </w:tblPrEx>
        <w:tc>
          <w:tcPr>
            <w:tcW w:w="26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vAlign w:val="center"/>
          </w:tcPr>
          <w:p w14:paraId="586A6661" w14:textId="77777777" w:rsidR="00951385" w:rsidRDefault="00000000">
            <w:r>
              <w:rPr>
                <w:b/>
                <w:bCs/>
                <w:sz w:val="18"/>
                <w:szCs w:val="18"/>
              </w:rPr>
              <w:t>Destrucción física</w:t>
            </w:r>
          </w:p>
        </w:tc>
        <w:tc>
          <w:tcPr>
            <w:tcW w:w="7039"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vAlign w:val="center"/>
          </w:tcPr>
          <w:p w14:paraId="586A6662" w14:textId="77777777" w:rsidR="00951385" w:rsidRDefault="00000000">
            <w:r>
              <w:rPr>
                <w:sz w:val="18"/>
                <w:szCs w:val="18"/>
              </w:rPr>
              <w:t>Inutilización irreversible de un dispositivo de almacenamiento mediante trituración, perforación, doblado o desintegración.</w:t>
            </w:r>
          </w:p>
        </w:tc>
      </w:tr>
      <w:tr w:rsidR="00951385" w14:paraId="586A6666" w14:textId="77777777">
        <w:tblPrEx>
          <w:tblCellMar>
            <w:top w:w="0" w:type="dxa"/>
            <w:bottom w:w="0" w:type="dxa"/>
          </w:tblCellMar>
        </w:tblPrEx>
        <w:tc>
          <w:tcPr>
            <w:tcW w:w="26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vAlign w:val="center"/>
          </w:tcPr>
          <w:p w14:paraId="586A6664" w14:textId="77777777" w:rsidR="00951385" w:rsidRDefault="00000000">
            <w:r>
              <w:rPr>
                <w:b/>
                <w:bCs/>
                <w:sz w:val="18"/>
                <w:szCs w:val="18"/>
              </w:rPr>
              <w:t>Cadena de custodia</w:t>
            </w:r>
          </w:p>
        </w:tc>
        <w:tc>
          <w:tcPr>
            <w:tcW w:w="7039"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vAlign w:val="center"/>
          </w:tcPr>
          <w:p w14:paraId="586A6665" w14:textId="77777777" w:rsidR="00951385" w:rsidRDefault="00000000">
            <w:r>
              <w:rPr>
                <w:sz w:val="18"/>
                <w:szCs w:val="18"/>
              </w:rPr>
              <w:t>Registro continuo y verificable del recorrido de un dispositivo desde el momento en que es retirado de operación hasta que existe una confirmación documentada de su disposición final.</w:t>
            </w:r>
          </w:p>
        </w:tc>
      </w:tr>
      <w:tr w:rsidR="00951385" w14:paraId="586A6669" w14:textId="77777777">
        <w:tblPrEx>
          <w:tblCellMar>
            <w:top w:w="0" w:type="dxa"/>
            <w:bottom w:w="0" w:type="dxa"/>
          </w:tblCellMar>
        </w:tblPrEx>
        <w:tc>
          <w:tcPr>
            <w:tcW w:w="26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vAlign w:val="center"/>
          </w:tcPr>
          <w:p w14:paraId="586A6667" w14:textId="77777777" w:rsidR="00951385" w:rsidRDefault="00000000">
            <w:r>
              <w:rPr>
                <w:b/>
                <w:bCs/>
                <w:sz w:val="18"/>
                <w:szCs w:val="18"/>
              </w:rPr>
              <w:t>Certificado de destrucción</w:t>
            </w:r>
          </w:p>
        </w:tc>
        <w:tc>
          <w:tcPr>
            <w:tcW w:w="7039"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vAlign w:val="center"/>
          </w:tcPr>
          <w:p w14:paraId="586A6668" w14:textId="77777777" w:rsidR="00951385" w:rsidRDefault="00000000">
            <w:r>
              <w:rPr>
                <w:sz w:val="18"/>
                <w:szCs w:val="18"/>
              </w:rPr>
              <w:t>Documento emitido por el responsable del proceso —interno o externo— que acredita que un dispositivo específico fue procesado correctamente, con número de serie, método utilizado y fecha.</w:t>
            </w:r>
          </w:p>
        </w:tc>
      </w:tr>
    </w:tbl>
    <w:p w14:paraId="586A666A" w14:textId="77777777" w:rsidR="00951385" w:rsidRDefault="00000000">
      <w:pPr>
        <w:pStyle w:val="Ttulo1"/>
        <w:pBdr>
          <w:bottom w:val="single" w:sz="4" w:space="4" w:color="185FA5"/>
        </w:pBdr>
        <w:spacing w:before="380" w:after="160"/>
      </w:pPr>
      <w:r>
        <w:rPr>
          <w:rFonts w:ascii="Calibri" w:eastAsia="Calibri" w:hAnsi="Calibri" w:cs="Calibri"/>
          <w:b/>
          <w:bCs/>
          <w:color w:val="1F3864"/>
          <w:sz w:val="26"/>
          <w:szCs w:val="26"/>
        </w:rPr>
        <w:t>4. Eventos que Activan el Proceso de Disposición Final</w:t>
      </w:r>
    </w:p>
    <w:p w14:paraId="586A666B" w14:textId="77777777" w:rsidR="00951385" w:rsidRDefault="00000000">
      <w:pPr>
        <w:spacing w:after="160" w:line="300" w:lineRule="auto"/>
        <w:jc w:val="both"/>
      </w:pPr>
      <w:r>
        <w:lastRenderedPageBreak/>
        <w:t>Todo activo tecnológico deberá iniciar el proceso de disposición final descrito en esta política cuando se presente, como mínimo, alguno de los siguientes eventos:</w:t>
      </w:r>
    </w:p>
    <w:p w14:paraId="586A666C" w14:textId="77777777" w:rsidR="00951385" w:rsidRDefault="00000000">
      <w:pPr>
        <w:pStyle w:val="Prrafodelista"/>
        <w:numPr>
          <w:ilvl w:val="0"/>
          <w:numId w:val="1"/>
        </w:numPr>
        <w:spacing w:after="100" w:line="280" w:lineRule="auto"/>
      </w:pPr>
      <w:r>
        <w:rPr>
          <w:b/>
          <w:bCs/>
        </w:rPr>
        <w:t>Reemplazo de equipo.</w:t>
      </w:r>
      <w:r>
        <w:t xml:space="preserve"> El activo es sustituido por uno nuevo dentro de un ciclo de renovación tecnológica.</w:t>
      </w:r>
    </w:p>
    <w:p w14:paraId="586A666D" w14:textId="77777777" w:rsidR="00951385" w:rsidRDefault="00000000">
      <w:pPr>
        <w:pStyle w:val="Prrafodelista"/>
        <w:numPr>
          <w:ilvl w:val="0"/>
          <w:numId w:val="1"/>
        </w:numPr>
        <w:spacing w:after="100" w:line="280" w:lineRule="auto"/>
      </w:pPr>
      <w:r>
        <w:rPr>
          <w:b/>
          <w:bCs/>
        </w:rPr>
        <w:t>Desvinculación de un colaborador.</w:t>
      </w:r>
      <w:r>
        <w:t xml:space="preserve"> El equipo asignado a un colaborador que finaliza su relación con la organización queda disponible para reasignación o disposición final.</w:t>
      </w:r>
    </w:p>
    <w:p w14:paraId="586A666E" w14:textId="77777777" w:rsidR="00951385" w:rsidRDefault="00000000">
      <w:pPr>
        <w:pStyle w:val="Prrafodelista"/>
        <w:numPr>
          <w:ilvl w:val="0"/>
          <w:numId w:val="1"/>
        </w:numPr>
        <w:spacing w:after="100" w:line="280" w:lineRule="auto"/>
      </w:pPr>
      <w:r>
        <w:rPr>
          <w:b/>
          <w:bCs/>
        </w:rPr>
        <w:t>Fin de vida útil.</w:t>
      </w:r>
      <w:r>
        <w:t xml:space="preserve"> El fabricante descontinúa el soporte del activo o su rendimiento deja de ser adecuado para las necesidades operativas.</w:t>
      </w:r>
    </w:p>
    <w:p w14:paraId="586A666F" w14:textId="77777777" w:rsidR="00951385" w:rsidRDefault="00000000">
      <w:pPr>
        <w:pStyle w:val="Prrafodelista"/>
        <w:numPr>
          <w:ilvl w:val="0"/>
          <w:numId w:val="1"/>
        </w:numPr>
        <w:spacing w:after="100" w:line="280" w:lineRule="auto"/>
      </w:pPr>
      <w:r>
        <w:rPr>
          <w:b/>
          <w:bCs/>
        </w:rPr>
        <w:t>Daño irreparable.</w:t>
      </w:r>
      <w:r>
        <w:t xml:space="preserve"> El activo sufre una falla física o lógica que hace inviable su reparación o reutilización.</w:t>
      </w:r>
    </w:p>
    <w:p w14:paraId="586A6670" w14:textId="77777777" w:rsidR="00951385" w:rsidRDefault="00000000">
      <w:pPr>
        <w:spacing w:after="160" w:line="300" w:lineRule="auto"/>
        <w:jc w:val="both"/>
      </w:pPr>
      <w:r>
        <w:t>La ocurrencia de cualquiera de estos eventos deberá ser reportada al responsable de autorización definido en la Sección 8 de esta política, quien determinará el tratamiento a seguir.</w:t>
      </w:r>
    </w:p>
    <w:p w14:paraId="586A6671" w14:textId="77777777" w:rsidR="00951385" w:rsidRDefault="00000000">
      <w:pPr>
        <w:pStyle w:val="Ttulo1"/>
        <w:pBdr>
          <w:bottom w:val="single" w:sz="4" w:space="4" w:color="185FA5"/>
        </w:pBdr>
        <w:spacing w:before="380" w:after="160"/>
      </w:pPr>
      <w:r>
        <w:rPr>
          <w:rFonts w:ascii="Calibri" w:eastAsia="Calibri" w:hAnsi="Calibri" w:cs="Calibri"/>
          <w:b/>
          <w:bCs/>
          <w:color w:val="1F3864"/>
          <w:sz w:val="26"/>
          <w:szCs w:val="26"/>
        </w:rPr>
        <w:t>5. Métodos de Borrado y Destrucción Autorizados</w:t>
      </w:r>
    </w:p>
    <w:p w14:paraId="586A6672" w14:textId="77777777" w:rsidR="00951385" w:rsidRDefault="00000000">
      <w:pPr>
        <w:spacing w:after="160" w:line="300" w:lineRule="auto"/>
        <w:jc w:val="both"/>
      </w:pPr>
      <w:r>
        <w:t>El método de borrado o destrucción a aplicar sobre cada activo deberá seleccionarse según el nivel de sensibilidad de la información que contuvo y el tipo de medio de almacenamiento, conforme a los criterios técnicos descritos en la Función de Protección del dominio de Disposición Final de la organización. Como principio general:</w:t>
      </w:r>
    </w:p>
    <w:p w14:paraId="586A6673" w14:textId="77777777" w:rsidR="00951385" w:rsidRDefault="00000000">
      <w:pPr>
        <w:pStyle w:val="Prrafodelista"/>
        <w:numPr>
          <w:ilvl w:val="0"/>
          <w:numId w:val="1"/>
        </w:numPr>
        <w:spacing w:after="100" w:line="280" w:lineRule="auto"/>
      </w:pPr>
      <w:r>
        <w:t>La información de sensibilidad baja o media podrá eliminarse mediante borrado lógico verificado, siempre que el medio de almacenamiento sea reutilizado dentro de la organización o transferido a un tercero de confianza.</w:t>
      </w:r>
    </w:p>
    <w:p w14:paraId="586A6674" w14:textId="77777777" w:rsidR="00951385" w:rsidRDefault="00000000">
      <w:pPr>
        <w:pStyle w:val="Prrafodelista"/>
        <w:numPr>
          <w:ilvl w:val="0"/>
          <w:numId w:val="1"/>
        </w:numPr>
        <w:spacing w:after="100" w:line="280" w:lineRule="auto"/>
      </w:pPr>
      <w:r>
        <w:t>La información de sensibilidad alta, o los medios de almacenamiento que presenten daño físico que impida el borrado lógico, deberán someterse a destrucción física o a desmagnetización (</w:t>
      </w:r>
      <w:proofErr w:type="spellStart"/>
      <w:r>
        <w:rPr>
          <w:i/>
          <w:iCs/>
        </w:rPr>
        <w:t>degaussing</w:t>
      </w:r>
      <w:proofErr w:type="spellEnd"/>
      <w:r>
        <w:t>), según el tipo de medio.</w:t>
      </w:r>
    </w:p>
    <w:p w14:paraId="586A6675" w14:textId="77777777" w:rsidR="00951385" w:rsidRDefault="00000000">
      <w:pPr>
        <w:pStyle w:val="Prrafodelista"/>
        <w:numPr>
          <w:ilvl w:val="0"/>
          <w:numId w:val="1"/>
        </w:numPr>
        <w:spacing w:after="100" w:line="280" w:lineRule="auto"/>
      </w:pPr>
      <w:r>
        <w:t>En ningún caso un activo con información de sensibilidad alta podrá transferirse a un tercero, venderse o donarse sin haber completado previamente el proceso de borrado o destrucción correspondiente.</w:t>
      </w:r>
    </w:p>
    <w:p w14:paraId="586A6676" w14:textId="77777777" w:rsidR="00951385" w:rsidRDefault="00000000">
      <w:pPr>
        <w:spacing w:after="160" w:line="300" w:lineRule="auto"/>
        <w:jc w:val="both"/>
      </w:pPr>
      <w:r>
        <w:t xml:space="preserve">No se considera válido, </w:t>
      </w:r>
      <w:proofErr w:type="gramStart"/>
      <w:r>
        <w:t>bajo ninguna circunstancia</w:t>
      </w:r>
      <w:proofErr w:type="gramEnd"/>
      <w:r>
        <w:t>, el formateo convencional del sistema operativo como método único de disposición final, dado que este procedimiento no elimina el contenido real de la información y esta permanece recuperable mediante herramientas especializadas.</w:t>
      </w:r>
    </w:p>
    <w:p w14:paraId="586A6677" w14:textId="77777777" w:rsidR="00951385" w:rsidRDefault="00000000">
      <w:pPr>
        <w:pStyle w:val="Ttulo1"/>
        <w:pBdr>
          <w:bottom w:val="single" w:sz="4" w:space="4" w:color="185FA5"/>
        </w:pBdr>
        <w:spacing w:before="380" w:after="160"/>
      </w:pPr>
      <w:r>
        <w:rPr>
          <w:rFonts w:ascii="Calibri" w:eastAsia="Calibri" w:hAnsi="Calibri" w:cs="Calibri"/>
          <w:b/>
          <w:bCs/>
          <w:color w:val="1F3864"/>
          <w:sz w:val="26"/>
          <w:szCs w:val="26"/>
        </w:rPr>
        <w:t>6. Requisitos de Certificación para Proveedores Externos</w:t>
      </w:r>
    </w:p>
    <w:p w14:paraId="586A6678" w14:textId="77777777" w:rsidR="00951385" w:rsidRDefault="00000000">
      <w:pPr>
        <w:spacing w:after="160" w:line="300" w:lineRule="auto"/>
        <w:jc w:val="both"/>
      </w:pPr>
      <w:r>
        <w:t>Ningún proveedor externo podrá ser contratado para prestar servicios de borrado, destrucción o disposición final de activos tecnológicos sin haber acreditado previamente sus procesos ante el equipo de TI. La acreditación deberá verificar, como mínimo:</w:t>
      </w:r>
    </w:p>
    <w:p w14:paraId="586A6679" w14:textId="77777777" w:rsidR="00951385" w:rsidRDefault="00000000">
      <w:pPr>
        <w:spacing w:after="100" w:line="280" w:lineRule="auto"/>
        <w:ind w:left="400" w:hanging="320"/>
      </w:pPr>
      <w:r>
        <w:rPr>
          <w:b/>
          <w:bCs/>
        </w:rPr>
        <w:t xml:space="preserve">1. </w:t>
      </w:r>
      <w:r>
        <w:t xml:space="preserve">Que el proveedor cuenta con certificaciones reconocidas en la industria de destrucción de datos, tales como </w:t>
      </w:r>
      <w:r>
        <w:rPr>
          <w:i/>
          <w:iCs/>
        </w:rPr>
        <w:t>NAID AAA</w:t>
      </w:r>
      <w:r>
        <w:t xml:space="preserve">, </w:t>
      </w:r>
      <w:r>
        <w:rPr>
          <w:i/>
          <w:iCs/>
        </w:rPr>
        <w:t>R2</w:t>
      </w:r>
      <w:r>
        <w:t xml:space="preserve"> (</w:t>
      </w:r>
      <w:proofErr w:type="spellStart"/>
      <w:r>
        <w:rPr>
          <w:i/>
          <w:iCs/>
        </w:rPr>
        <w:t>Responsible</w:t>
      </w:r>
      <w:proofErr w:type="spellEnd"/>
      <w:r>
        <w:rPr>
          <w:i/>
          <w:iCs/>
        </w:rPr>
        <w:t xml:space="preserve"> </w:t>
      </w:r>
      <w:proofErr w:type="spellStart"/>
      <w:r>
        <w:rPr>
          <w:i/>
          <w:iCs/>
        </w:rPr>
        <w:t>Recycling</w:t>
      </w:r>
      <w:proofErr w:type="spellEnd"/>
      <w:r>
        <w:t xml:space="preserve">) o </w:t>
      </w:r>
      <w:r>
        <w:rPr>
          <w:i/>
          <w:iCs/>
        </w:rPr>
        <w:t>e-</w:t>
      </w:r>
      <w:proofErr w:type="spellStart"/>
      <w:r>
        <w:rPr>
          <w:i/>
          <w:iCs/>
        </w:rPr>
        <w:t>Stewards</w:t>
      </w:r>
      <w:proofErr w:type="spellEnd"/>
      <w:r>
        <w:t>.</w:t>
      </w:r>
    </w:p>
    <w:p w14:paraId="586A667A" w14:textId="77777777" w:rsidR="00951385" w:rsidRDefault="00000000">
      <w:pPr>
        <w:spacing w:after="100" w:line="280" w:lineRule="auto"/>
        <w:ind w:left="400" w:hanging="320"/>
      </w:pPr>
      <w:r>
        <w:rPr>
          <w:b/>
          <w:bCs/>
        </w:rPr>
        <w:lastRenderedPageBreak/>
        <w:t xml:space="preserve">2. </w:t>
      </w:r>
      <w:r>
        <w:t>Que el proveedor puede emitir un certificado de destrucción individualizado por cada dispositivo procesado, con número de serie, método utilizado y fecha.</w:t>
      </w:r>
    </w:p>
    <w:p w14:paraId="586A667B" w14:textId="77777777" w:rsidR="00951385" w:rsidRDefault="00000000">
      <w:pPr>
        <w:spacing w:after="100" w:line="280" w:lineRule="auto"/>
        <w:ind w:left="400" w:hanging="320"/>
      </w:pPr>
      <w:r>
        <w:rPr>
          <w:b/>
          <w:bCs/>
        </w:rPr>
        <w:t xml:space="preserve">3. </w:t>
      </w:r>
      <w:r>
        <w:t>Que el proveedor permite auditorías o visitas de verificación cuando la sensibilidad de la información transferida lo justifique.</w:t>
      </w:r>
    </w:p>
    <w:p w14:paraId="586A667C" w14:textId="77777777" w:rsidR="00951385" w:rsidRDefault="00000000">
      <w:pPr>
        <w:spacing w:after="160" w:line="300" w:lineRule="auto"/>
        <w:jc w:val="both"/>
      </w:pPr>
      <w:r>
        <w:t>La organización deberá mantener un listado actualizado de proveedores autorizados. Ningún dispositivo podrá entregarse a un proveedor que no figure en dicho listado, independientemente de la urgencia operativa o del ahorro económico que dicho proveedor ofrezca.</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951385" w14:paraId="586A667F" w14:textId="77777777">
        <w:tblPrEx>
          <w:tblCellMar>
            <w:top w:w="0" w:type="dxa"/>
            <w:bottom w:w="0" w:type="dxa"/>
          </w:tblCellMar>
        </w:tblPrEx>
        <w:tc>
          <w:tcPr>
            <w:tcW w:w="9639" w:type="dxa"/>
            <w:tcBorders>
              <w:top w:val="single" w:sz="8" w:space="0" w:color="E36C09"/>
              <w:left w:val="single" w:sz="8" w:space="0" w:color="E36C09"/>
              <w:bottom w:val="single" w:sz="8" w:space="0" w:color="E36C09"/>
              <w:right w:val="single" w:sz="8" w:space="0" w:color="E36C09"/>
            </w:tcBorders>
            <w:shd w:val="clear" w:color="auto" w:fill="FDF1E6"/>
            <w:tcMar>
              <w:top w:w="120" w:type="dxa"/>
              <w:left w:w="160" w:type="dxa"/>
              <w:bottom w:w="120" w:type="dxa"/>
              <w:right w:w="160" w:type="dxa"/>
            </w:tcMar>
          </w:tcPr>
          <w:p w14:paraId="586A667D" w14:textId="77777777" w:rsidR="00951385" w:rsidRDefault="00000000">
            <w:pPr>
              <w:spacing w:after="60"/>
            </w:pPr>
            <w:r>
              <w:rPr>
                <w:rFonts w:ascii="Calibri" w:eastAsia="Calibri" w:hAnsi="Calibri" w:cs="Calibri"/>
                <w:b/>
                <w:bCs/>
                <w:color w:val="E36C09"/>
                <w:sz w:val="20"/>
                <w:szCs w:val="20"/>
              </w:rPr>
              <w:t>Nota práctica</w:t>
            </w:r>
          </w:p>
          <w:p w14:paraId="586A667E" w14:textId="77777777" w:rsidR="00951385" w:rsidRDefault="00000000">
            <w:pPr>
              <w:spacing w:line="280" w:lineRule="auto"/>
            </w:pPr>
            <w:r>
              <w:rPr>
                <w:sz w:val="20"/>
                <w:szCs w:val="20"/>
              </w:rPr>
              <w:t>La ausencia de este requisito de acreditación fue, en la práctica, la causa raíz de algunos de los incidentes de exposición de información más costosos registrados en la industria: la responsabilidad legal sobre la información nunca recayó únicamente en el proveedor externo, sino también en la organización que lo contrató sin verificar su idoneidad.</w:t>
            </w:r>
          </w:p>
        </w:tc>
      </w:tr>
    </w:tbl>
    <w:p w14:paraId="586A6680" w14:textId="77777777" w:rsidR="00951385" w:rsidRDefault="00000000">
      <w:pPr>
        <w:pStyle w:val="Ttulo1"/>
        <w:pBdr>
          <w:bottom w:val="single" w:sz="4" w:space="4" w:color="185FA5"/>
        </w:pBdr>
        <w:spacing w:before="380" w:after="160"/>
      </w:pPr>
      <w:r>
        <w:rPr>
          <w:rFonts w:ascii="Calibri" w:eastAsia="Calibri" w:hAnsi="Calibri" w:cs="Calibri"/>
          <w:b/>
          <w:bCs/>
          <w:color w:val="1F3864"/>
          <w:sz w:val="26"/>
          <w:szCs w:val="26"/>
        </w:rPr>
        <w:t>7. Responsabilidad sobre la Información Transferida a un Tercero</w:t>
      </w:r>
    </w:p>
    <w:p w14:paraId="586A6681" w14:textId="77777777" w:rsidR="00951385" w:rsidRDefault="00000000">
      <w:pPr>
        <w:spacing w:after="160" w:line="300" w:lineRule="auto"/>
        <w:jc w:val="both"/>
      </w:pPr>
      <w:r>
        <w:t>La transferencia física de un dispositivo a un tercero —proveedor de disposición final, comprador, entidad donataria u organismo de reciclaje— no transfiere la responsabilidad de la organización sobre la información que dicho dispositivo contiene. La organización conserva la responsabilidad legal y reputacional sobre esa información hasta que exista una confirmación documentada de su eliminación segura, conforme a la cadena de custodia descrita en la Sección 9.</w:t>
      </w:r>
    </w:p>
    <w:p w14:paraId="586A6682" w14:textId="77777777" w:rsidR="00951385" w:rsidRDefault="00000000">
      <w:pPr>
        <w:spacing w:after="160" w:line="300" w:lineRule="auto"/>
        <w:jc w:val="both"/>
      </w:pPr>
      <w:r>
        <w:t>En consecuencia, ningún colaborador podrá disponer de un activo tecnológico por su cuenta —incluyendo la venta o donación directa a terceros— sin haber surtido el proceso completo descrito en esta política.</w:t>
      </w:r>
    </w:p>
    <w:p w14:paraId="586A6683" w14:textId="77777777" w:rsidR="00951385" w:rsidRDefault="00000000">
      <w:pPr>
        <w:pStyle w:val="Ttulo1"/>
        <w:pBdr>
          <w:bottom w:val="single" w:sz="4" w:space="4" w:color="185FA5"/>
        </w:pBdr>
        <w:spacing w:before="380" w:after="160"/>
      </w:pPr>
      <w:r>
        <w:rPr>
          <w:rFonts w:ascii="Calibri" w:eastAsia="Calibri" w:hAnsi="Calibri" w:cs="Calibri"/>
          <w:b/>
          <w:bCs/>
          <w:color w:val="1F3864"/>
          <w:sz w:val="26"/>
          <w:szCs w:val="26"/>
        </w:rPr>
        <w:t>8. Roles y Responsabilidades</w:t>
      </w:r>
    </w:p>
    <w:p w14:paraId="586A6684" w14:textId="77777777" w:rsidR="00951385" w:rsidRDefault="00000000">
      <w:pPr>
        <w:spacing w:after="160" w:line="300" w:lineRule="auto"/>
        <w:jc w:val="both"/>
      </w:pPr>
      <w:r>
        <w:t>La ejecución del proceso de disposición final deberá contemplar, como mínimo, los siguientes tres roles diferenciados. En una organización de tamaño reducido, estos roles podrán recaer en distintas personas del mismo equipo, pero nunca deberán concentrarse en una sola persona:</w:t>
      </w:r>
    </w:p>
    <w:p w14:paraId="586A6685" w14:textId="77777777" w:rsidR="00951385" w:rsidRDefault="00000000">
      <w:pPr>
        <w:pStyle w:val="Ttulo2"/>
        <w:spacing w:before="200" w:after="100"/>
      </w:pPr>
      <w:r>
        <w:rPr>
          <w:rFonts w:ascii="Calibri" w:eastAsia="Calibri" w:hAnsi="Calibri" w:cs="Calibri"/>
          <w:b/>
          <w:bCs/>
          <w:color w:val="2E75B6"/>
          <w:sz w:val="22"/>
          <w:szCs w:val="22"/>
        </w:rPr>
        <w:t>Responsable de autorización</w:t>
      </w:r>
    </w:p>
    <w:p w14:paraId="586A6686" w14:textId="77777777" w:rsidR="00951385" w:rsidRDefault="00000000">
      <w:pPr>
        <w:spacing w:after="160" w:line="300" w:lineRule="auto"/>
        <w:jc w:val="both"/>
      </w:pPr>
      <w:r>
        <w:t>Aprueba la baja de cada activo y su clasificación de sensibilidad, con base en el inventario de activos tecnológicos de la organización.</w:t>
      </w:r>
    </w:p>
    <w:p w14:paraId="586A6687" w14:textId="77777777" w:rsidR="00951385" w:rsidRDefault="00000000">
      <w:pPr>
        <w:pStyle w:val="Ttulo2"/>
        <w:spacing w:before="200" w:after="100"/>
      </w:pPr>
      <w:r>
        <w:rPr>
          <w:rFonts w:ascii="Calibri" w:eastAsia="Calibri" w:hAnsi="Calibri" w:cs="Calibri"/>
          <w:b/>
          <w:bCs/>
          <w:color w:val="2E75B6"/>
          <w:sz w:val="22"/>
          <w:szCs w:val="22"/>
        </w:rPr>
        <w:t>Responsable de ejecución</w:t>
      </w:r>
    </w:p>
    <w:p w14:paraId="586A6688" w14:textId="77777777" w:rsidR="00951385" w:rsidRDefault="00000000">
      <w:pPr>
        <w:spacing w:after="160" w:line="300" w:lineRule="auto"/>
        <w:jc w:val="both"/>
      </w:pPr>
      <w:r>
        <w:t>Ejecuta o supervisa la ejecución técnica del borrado o la destrucción, ya sea de forma interna o a través de un proveedor externo acreditado conforme a la Sección 6.</w:t>
      </w:r>
    </w:p>
    <w:p w14:paraId="586A6689" w14:textId="77777777" w:rsidR="00951385" w:rsidRDefault="00000000">
      <w:pPr>
        <w:pStyle w:val="Ttulo2"/>
        <w:spacing w:before="200" w:after="100"/>
      </w:pPr>
      <w:r>
        <w:rPr>
          <w:rFonts w:ascii="Calibri" w:eastAsia="Calibri" w:hAnsi="Calibri" w:cs="Calibri"/>
          <w:b/>
          <w:bCs/>
          <w:color w:val="2E75B6"/>
          <w:sz w:val="22"/>
          <w:szCs w:val="22"/>
        </w:rPr>
        <w:t>Responsable de verificación</w:t>
      </w:r>
    </w:p>
    <w:p w14:paraId="586A668A" w14:textId="77777777" w:rsidR="00951385" w:rsidRDefault="00000000">
      <w:pPr>
        <w:spacing w:after="160" w:line="300" w:lineRule="auto"/>
        <w:jc w:val="both"/>
      </w:pPr>
      <w:r>
        <w:t>Confirma que el proceso fue efectivamente ejecutado y que la documentación y los certificados correspondientes son auténticos y están completos, antes de dar por cerrado el expediente del activo.</w:t>
      </w:r>
    </w:p>
    <w:p w14:paraId="586A668B" w14:textId="77777777" w:rsidR="00951385" w:rsidRDefault="00000000">
      <w:pPr>
        <w:pStyle w:val="Ttulo1"/>
        <w:pBdr>
          <w:bottom w:val="single" w:sz="4" w:space="4" w:color="185FA5"/>
        </w:pBdr>
        <w:spacing w:before="380" w:after="160"/>
      </w:pPr>
      <w:r>
        <w:rPr>
          <w:rFonts w:ascii="Calibri" w:eastAsia="Calibri" w:hAnsi="Calibri" w:cs="Calibri"/>
          <w:b/>
          <w:bCs/>
          <w:color w:val="1F3864"/>
          <w:sz w:val="26"/>
          <w:szCs w:val="26"/>
        </w:rPr>
        <w:lastRenderedPageBreak/>
        <w:t>9. Documentación, Retención y Cadena de Custodia</w:t>
      </w:r>
    </w:p>
    <w:p w14:paraId="586A668C" w14:textId="77777777" w:rsidR="00951385" w:rsidRDefault="00000000">
      <w:pPr>
        <w:spacing w:after="160" w:line="300" w:lineRule="auto"/>
        <w:jc w:val="both"/>
      </w:pPr>
      <w:r>
        <w:t>Todo proceso de disposición final deberá quedar respaldado por una cadena de custodia documentada que registre, como mínimo, los siguientes momentos:</w:t>
      </w:r>
    </w:p>
    <w:p w14:paraId="586A668D" w14:textId="77777777" w:rsidR="00951385" w:rsidRDefault="00000000">
      <w:pPr>
        <w:spacing w:after="100" w:line="280" w:lineRule="auto"/>
        <w:ind w:left="400" w:hanging="320"/>
      </w:pPr>
      <w:r>
        <w:rPr>
          <w:b/>
          <w:bCs/>
        </w:rPr>
        <w:t>1. Retirada del servicio</w:t>
      </w:r>
      <w:r>
        <w:t>: fecha, responsable, número de serie del activo y estado en que fue retirado.</w:t>
      </w:r>
    </w:p>
    <w:p w14:paraId="586A668E" w14:textId="77777777" w:rsidR="00951385" w:rsidRDefault="00000000">
      <w:pPr>
        <w:spacing w:after="100" w:line="280" w:lineRule="auto"/>
        <w:ind w:left="400" w:hanging="320"/>
      </w:pPr>
      <w:r>
        <w:rPr>
          <w:b/>
          <w:bCs/>
        </w:rPr>
        <w:t>2. Almacenamiento temporal</w:t>
      </w:r>
      <w:r>
        <w:t>: ubicación física donde el activo espera ser procesado, con acceso restringido y registro de entradas y salidas.</w:t>
      </w:r>
    </w:p>
    <w:p w14:paraId="586A668F" w14:textId="77777777" w:rsidR="00951385" w:rsidRDefault="00000000">
      <w:pPr>
        <w:spacing w:after="100" w:line="280" w:lineRule="auto"/>
        <w:ind w:left="400" w:hanging="320"/>
      </w:pPr>
      <w:r>
        <w:rPr>
          <w:b/>
          <w:bCs/>
        </w:rPr>
        <w:t>3. Transferencia a un proveedor externo</w:t>
      </w:r>
      <w:r>
        <w:t>, si aplica: acuse de recibo firmado por el proveedor, con identificación de cada activo transferido.</w:t>
      </w:r>
    </w:p>
    <w:p w14:paraId="586A6690" w14:textId="77777777" w:rsidR="00951385" w:rsidRDefault="00000000">
      <w:pPr>
        <w:spacing w:after="100" w:line="280" w:lineRule="auto"/>
        <w:ind w:left="400" w:hanging="320"/>
      </w:pPr>
      <w:r>
        <w:rPr>
          <w:b/>
          <w:bCs/>
        </w:rPr>
        <w:t>4. Ejecución del proceso de borrado o destrucción</w:t>
      </w:r>
      <w:r>
        <w:t>: método utilizado, herramienta o equipo empleado, operador responsable y resultado del proceso.</w:t>
      </w:r>
    </w:p>
    <w:p w14:paraId="586A6691" w14:textId="77777777" w:rsidR="00951385" w:rsidRDefault="00000000">
      <w:pPr>
        <w:spacing w:after="100" w:line="280" w:lineRule="auto"/>
        <w:ind w:left="400" w:hanging="320"/>
      </w:pPr>
      <w:r>
        <w:rPr>
          <w:b/>
          <w:bCs/>
        </w:rPr>
        <w:t>5. Certificación</w:t>
      </w:r>
      <w:r>
        <w:t>: documento emitido por el responsable del proceso —interno o externo— que acredita que cada activo fue procesado correctamente.</w:t>
      </w:r>
    </w:p>
    <w:p w14:paraId="586A6692" w14:textId="77777777" w:rsidR="00951385" w:rsidRDefault="00000000">
      <w:pPr>
        <w:spacing w:after="160" w:line="300" w:lineRule="auto"/>
        <w:jc w:val="both"/>
      </w:pPr>
      <w:r>
        <w:t>La documentación generada en cada una de estas etapas, junto con los certificados de destrucción correspondientes, deberá conservarse por un período mínimo de cinco (5) años contados desde la fecha de disposición final del activo, o por el período que determine una obligación legal o contractual específica, si esta fuera mayor.</w:t>
      </w:r>
    </w:p>
    <w:p w14:paraId="586A6693" w14:textId="77777777" w:rsidR="00951385" w:rsidRDefault="00000000">
      <w:pPr>
        <w:pStyle w:val="Ttulo1"/>
        <w:pBdr>
          <w:bottom w:val="single" w:sz="4" w:space="4" w:color="185FA5"/>
        </w:pBdr>
        <w:spacing w:before="380" w:after="160"/>
      </w:pPr>
      <w:r>
        <w:rPr>
          <w:rFonts w:ascii="Calibri" w:eastAsia="Calibri" w:hAnsi="Calibri" w:cs="Calibri"/>
          <w:b/>
          <w:bCs/>
          <w:color w:val="1F3864"/>
          <w:sz w:val="26"/>
          <w:szCs w:val="26"/>
        </w:rPr>
        <w:t>10. Incumplimiento, Excepciones y Vigencia</w:t>
      </w:r>
    </w:p>
    <w:p w14:paraId="586A6694" w14:textId="77777777" w:rsidR="00951385" w:rsidRDefault="00000000">
      <w:pPr>
        <w:pStyle w:val="Ttulo2"/>
        <w:spacing w:before="200" w:after="100"/>
      </w:pPr>
      <w:r>
        <w:rPr>
          <w:rFonts w:ascii="Calibri" w:eastAsia="Calibri" w:hAnsi="Calibri" w:cs="Calibri"/>
          <w:b/>
          <w:bCs/>
          <w:color w:val="2E75B6"/>
          <w:sz w:val="22"/>
          <w:szCs w:val="22"/>
        </w:rPr>
        <w:t>Incumplimiento</w:t>
      </w:r>
    </w:p>
    <w:p w14:paraId="586A6695" w14:textId="77777777" w:rsidR="00951385" w:rsidRDefault="00000000">
      <w:pPr>
        <w:spacing w:after="160" w:line="300" w:lineRule="auto"/>
        <w:jc w:val="both"/>
      </w:pPr>
      <w:r>
        <w:t>El incumplimiento de esta política por parte de un colaborador, contratista o proveedor dará lugar a las medidas disciplinarias o contractuales que correspondan, sin perjuicio de las acciones legales a que haya lugar cuando el incumplimiento resulte en la exposición de información de la organización, de sus clientes o de terceros.</w:t>
      </w:r>
    </w:p>
    <w:p w14:paraId="586A6696" w14:textId="77777777" w:rsidR="00951385" w:rsidRDefault="00000000">
      <w:pPr>
        <w:pStyle w:val="Ttulo2"/>
        <w:spacing w:before="200" w:after="100"/>
      </w:pPr>
      <w:r>
        <w:rPr>
          <w:rFonts w:ascii="Calibri" w:eastAsia="Calibri" w:hAnsi="Calibri" w:cs="Calibri"/>
          <w:b/>
          <w:bCs/>
          <w:color w:val="2E75B6"/>
          <w:sz w:val="22"/>
          <w:szCs w:val="22"/>
        </w:rPr>
        <w:t>Excepciones</w:t>
      </w:r>
    </w:p>
    <w:p w14:paraId="586A6697" w14:textId="77777777" w:rsidR="00951385" w:rsidRDefault="00000000">
      <w:pPr>
        <w:spacing w:after="160" w:line="300" w:lineRule="auto"/>
        <w:jc w:val="both"/>
      </w:pPr>
      <w:r>
        <w:t>Cualquier excepción a lo dispuesto en esta política deberá ser solicitada por escrito al responsable de autorización definido en la Sección 8, justificada técnicamente y aprobada antes de la ejecución del proceso de disposición final correspondiente. Ninguna excepción podrá eximir el requisito de generar un certificado de destrucción.</w:t>
      </w:r>
    </w:p>
    <w:p w14:paraId="586A6698" w14:textId="77777777" w:rsidR="00951385" w:rsidRDefault="00000000">
      <w:pPr>
        <w:pStyle w:val="Ttulo2"/>
        <w:spacing w:before="200" w:after="100"/>
      </w:pPr>
      <w:r>
        <w:rPr>
          <w:rFonts w:ascii="Calibri" w:eastAsia="Calibri" w:hAnsi="Calibri" w:cs="Calibri"/>
          <w:b/>
          <w:bCs/>
          <w:color w:val="2E75B6"/>
          <w:sz w:val="22"/>
          <w:szCs w:val="22"/>
        </w:rPr>
        <w:t>Vigencia y revisión</w:t>
      </w:r>
    </w:p>
    <w:p w14:paraId="586A6699" w14:textId="77777777" w:rsidR="00951385" w:rsidRDefault="00000000">
      <w:pPr>
        <w:spacing w:after="160" w:line="300" w:lineRule="auto"/>
        <w:jc w:val="both"/>
      </w:pPr>
      <w:r>
        <w:t xml:space="preserve">Esta política </w:t>
      </w:r>
      <w:proofErr w:type="gramStart"/>
      <w:r>
        <w:t>entra en vigencia</w:t>
      </w:r>
      <w:proofErr w:type="gramEnd"/>
      <w:r>
        <w:t xml:space="preserve"> a partir de su fecha de aprobación y deberá revisarse con una periodicidad mínima anual, o de forma extraordinaria cuando se presenten cambios regulatorios, incidentes relevantes o modificaciones significativas en la infraestructura tecnológica de la organización.</w:t>
      </w:r>
    </w:p>
    <w:p w14:paraId="586A669A" w14:textId="77777777" w:rsidR="00951385" w:rsidRDefault="00000000">
      <w:r>
        <w:br w:type="page"/>
      </w:r>
    </w:p>
    <w:p w14:paraId="586A669B" w14:textId="77777777" w:rsidR="00951385" w:rsidRDefault="00000000">
      <w:pPr>
        <w:pStyle w:val="Ttulo1"/>
        <w:pBdr>
          <w:bottom w:val="single" w:sz="4" w:space="4" w:color="185FA5"/>
        </w:pBdr>
        <w:spacing w:before="200" w:after="160"/>
      </w:pPr>
      <w:r>
        <w:rPr>
          <w:rFonts w:ascii="Calibri" w:eastAsia="Calibri" w:hAnsi="Calibri" w:cs="Calibri"/>
          <w:b/>
          <w:bCs/>
          <w:color w:val="1F3864"/>
          <w:sz w:val="26"/>
          <w:szCs w:val="26"/>
        </w:rPr>
        <w:lastRenderedPageBreak/>
        <w:t>Anexo A. Control de Versiones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3339"/>
        <w:gridCol w:w="3200"/>
      </w:tblGrid>
      <w:tr w:rsidR="00951385" w14:paraId="586A66A0" w14:textId="77777777">
        <w:tblPrEx>
          <w:tblCellMar>
            <w:top w:w="0" w:type="dxa"/>
            <w:bottom w:w="0" w:type="dxa"/>
          </w:tblCellMar>
        </w:tblPrEx>
        <w:trPr>
          <w:tblHeader/>
        </w:trPr>
        <w:tc>
          <w:tcPr>
            <w:tcW w:w="1400" w:type="dxa"/>
            <w:tcBorders>
              <w:top w:val="single" w:sz="4" w:space="0" w:color="D3D1C7"/>
              <w:left w:val="single" w:sz="4" w:space="0" w:color="D3D1C7"/>
              <w:bottom w:val="single" w:sz="4" w:space="0" w:color="D3D1C7"/>
              <w:right w:val="single" w:sz="4" w:space="0" w:color="D3D1C7"/>
            </w:tcBorders>
            <w:shd w:val="clear" w:color="auto" w:fill="185FA5"/>
            <w:tcMar>
              <w:top w:w="80" w:type="dxa"/>
              <w:left w:w="100" w:type="dxa"/>
              <w:bottom w:w="80" w:type="dxa"/>
              <w:right w:w="100" w:type="dxa"/>
            </w:tcMar>
            <w:vAlign w:val="center"/>
          </w:tcPr>
          <w:p w14:paraId="586A669C" w14:textId="77777777" w:rsidR="00951385" w:rsidRDefault="00000000">
            <w:pPr>
              <w:jc w:val="center"/>
            </w:pPr>
            <w:r>
              <w:rPr>
                <w:rFonts w:ascii="Calibri" w:eastAsia="Calibri" w:hAnsi="Calibri" w:cs="Calibri"/>
                <w:b/>
                <w:bCs/>
                <w:color w:val="FFFFFF"/>
                <w:sz w:val="18"/>
                <w:szCs w:val="18"/>
              </w:rPr>
              <w:t>Versión</w:t>
            </w:r>
          </w:p>
        </w:tc>
        <w:tc>
          <w:tcPr>
            <w:tcW w:w="1700" w:type="dxa"/>
            <w:tcBorders>
              <w:top w:val="single" w:sz="4" w:space="0" w:color="D3D1C7"/>
              <w:left w:val="single" w:sz="4" w:space="0" w:color="D3D1C7"/>
              <w:bottom w:val="single" w:sz="4" w:space="0" w:color="D3D1C7"/>
              <w:right w:val="single" w:sz="4" w:space="0" w:color="D3D1C7"/>
            </w:tcBorders>
            <w:shd w:val="clear" w:color="auto" w:fill="185FA5"/>
            <w:tcMar>
              <w:top w:w="80" w:type="dxa"/>
              <w:left w:w="100" w:type="dxa"/>
              <w:bottom w:w="80" w:type="dxa"/>
              <w:right w:w="100" w:type="dxa"/>
            </w:tcMar>
            <w:vAlign w:val="center"/>
          </w:tcPr>
          <w:p w14:paraId="586A669D" w14:textId="77777777" w:rsidR="00951385" w:rsidRDefault="00000000">
            <w:pPr>
              <w:jc w:val="center"/>
            </w:pPr>
            <w:r>
              <w:rPr>
                <w:rFonts w:ascii="Calibri" w:eastAsia="Calibri" w:hAnsi="Calibri" w:cs="Calibri"/>
                <w:b/>
                <w:bCs/>
                <w:color w:val="FFFFFF"/>
                <w:sz w:val="18"/>
                <w:szCs w:val="18"/>
              </w:rPr>
              <w:t>Fecha</w:t>
            </w:r>
          </w:p>
        </w:tc>
        <w:tc>
          <w:tcPr>
            <w:tcW w:w="3339" w:type="dxa"/>
            <w:tcBorders>
              <w:top w:val="single" w:sz="4" w:space="0" w:color="D3D1C7"/>
              <w:left w:val="single" w:sz="4" w:space="0" w:color="D3D1C7"/>
              <w:bottom w:val="single" w:sz="4" w:space="0" w:color="D3D1C7"/>
              <w:right w:val="single" w:sz="4" w:space="0" w:color="D3D1C7"/>
            </w:tcBorders>
            <w:shd w:val="clear" w:color="auto" w:fill="185FA5"/>
            <w:tcMar>
              <w:top w:w="80" w:type="dxa"/>
              <w:left w:w="100" w:type="dxa"/>
              <w:bottom w:w="80" w:type="dxa"/>
              <w:right w:w="100" w:type="dxa"/>
            </w:tcMar>
            <w:vAlign w:val="center"/>
          </w:tcPr>
          <w:p w14:paraId="586A669E" w14:textId="77777777" w:rsidR="00951385" w:rsidRDefault="00000000">
            <w:pPr>
              <w:jc w:val="center"/>
            </w:pPr>
            <w:r>
              <w:rPr>
                <w:rFonts w:ascii="Calibri" w:eastAsia="Calibri" w:hAnsi="Calibri" w:cs="Calibri"/>
                <w:b/>
                <w:bCs/>
                <w:color w:val="FFFFFF"/>
                <w:sz w:val="18"/>
                <w:szCs w:val="18"/>
              </w:rPr>
              <w:t>Descripción del cambio</w:t>
            </w:r>
          </w:p>
        </w:tc>
        <w:tc>
          <w:tcPr>
            <w:tcW w:w="3200" w:type="dxa"/>
            <w:tcBorders>
              <w:top w:val="single" w:sz="4" w:space="0" w:color="D3D1C7"/>
              <w:left w:val="single" w:sz="4" w:space="0" w:color="D3D1C7"/>
              <w:bottom w:val="single" w:sz="4" w:space="0" w:color="D3D1C7"/>
              <w:right w:val="single" w:sz="4" w:space="0" w:color="D3D1C7"/>
            </w:tcBorders>
            <w:shd w:val="clear" w:color="auto" w:fill="185FA5"/>
            <w:tcMar>
              <w:top w:w="80" w:type="dxa"/>
              <w:left w:w="100" w:type="dxa"/>
              <w:bottom w:w="80" w:type="dxa"/>
              <w:right w:w="100" w:type="dxa"/>
            </w:tcMar>
            <w:vAlign w:val="center"/>
          </w:tcPr>
          <w:p w14:paraId="586A669F" w14:textId="77777777" w:rsidR="00951385" w:rsidRDefault="00000000">
            <w:pPr>
              <w:jc w:val="center"/>
            </w:pPr>
            <w:r>
              <w:rPr>
                <w:rFonts w:ascii="Calibri" w:eastAsia="Calibri" w:hAnsi="Calibri" w:cs="Calibri"/>
                <w:b/>
                <w:bCs/>
                <w:color w:val="FFFFFF"/>
                <w:sz w:val="18"/>
                <w:szCs w:val="18"/>
              </w:rPr>
              <w:t>Aprobado por</w:t>
            </w:r>
          </w:p>
        </w:tc>
      </w:tr>
      <w:tr w:rsidR="00951385" w14:paraId="586A66A5" w14:textId="77777777">
        <w:tblPrEx>
          <w:tblCellMar>
            <w:top w:w="0" w:type="dxa"/>
            <w:bottom w:w="0" w:type="dxa"/>
          </w:tblCellMar>
        </w:tblPrEx>
        <w:tc>
          <w:tcPr>
            <w:tcW w:w="14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vAlign w:val="center"/>
          </w:tcPr>
          <w:p w14:paraId="586A66A1" w14:textId="77777777" w:rsidR="00951385" w:rsidRDefault="00000000">
            <w:r>
              <w:rPr>
                <w:sz w:val="18"/>
                <w:szCs w:val="18"/>
              </w:rPr>
              <w:t>1.0</w:t>
            </w:r>
          </w:p>
        </w:tc>
        <w:tc>
          <w:tcPr>
            <w:tcW w:w="17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vAlign w:val="center"/>
          </w:tcPr>
          <w:p w14:paraId="586A66A2" w14:textId="77777777" w:rsidR="00951385" w:rsidRDefault="00951385"/>
        </w:tc>
        <w:tc>
          <w:tcPr>
            <w:tcW w:w="3339"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vAlign w:val="center"/>
          </w:tcPr>
          <w:p w14:paraId="586A66A3" w14:textId="77777777" w:rsidR="00951385" w:rsidRDefault="00000000">
            <w:r>
              <w:rPr>
                <w:sz w:val="18"/>
                <w:szCs w:val="18"/>
              </w:rPr>
              <w:t>Versión inicial</w:t>
            </w:r>
          </w:p>
        </w:tc>
        <w:tc>
          <w:tcPr>
            <w:tcW w:w="32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vAlign w:val="center"/>
          </w:tcPr>
          <w:p w14:paraId="586A66A4" w14:textId="77777777" w:rsidR="00951385" w:rsidRDefault="00951385"/>
        </w:tc>
      </w:tr>
      <w:tr w:rsidR="00951385" w14:paraId="586A66AA" w14:textId="77777777">
        <w:tblPrEx>
          <w:tblCellMar>
            <w:top w:w="0" w:type="dxa"/>
            <w:bottom w:w="0" w:type="dxa"/>
          </w:tblCellMar>
        </w:tblPrEx>
        <w:tc>
          <w:tcPr>
            <w:tcW w:w="14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vAlign w:val="center"/>
          </w:tcPr>
          <w:p w14:paraId="586A66A6" w14:textId="77777777" w:rsidR="00951385" w:rsidRDefault="00951385"/>
        </w:tc>
        <w:tc>
          <w:tcPr>
            <w:tcW w:w="17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vAlign w:val="center"/>
          </w:tcPr>
          <w:p w14:paraId="586A66A7" w14:textId="77777777" w:rsidR="00951385" w:rsidRDefault="00951385"/>
        </w:tc>
        <w:tc>
          <w:tcPr>
            <w:tcW w:w="3339"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vAlign w:val="center"/>
          </w:tcPr>
          <w:p w14:paraId="586A66A8" w14:textId="77777777" w:rsidR="00951385" w:rsidRDefault="00951385"/>
        </w:tc>
        <w:tc>
          <w:tcPr>
            <w:tcW w:w="3200" w:type="dxa"/>
            <w:tcBorders>
              <w:top w:val="single" w:sz="4" w:space="0" w:color="D3D1C7"/>
              <w:left w:val="single" w:sz="4" w:space="0" w:color="D3D1C7"/>
              <w:bottom w:val="single" w:sz="4" w:space="0" w:color="D3D1C7"/>
              <w:right w:val="single" w:sz="4" w:space="0" w:color="D3D1C7"/>
            </w:tcBorders>
            <w:shd w:val="clear" w:color="auto" w:fill="FFFFFF"/>
            <w:tcMar>
              <w:top w:w="80" w:type="dxa"/>
              <w:left w:w="100" w:type="dxa"/>
              <w:bottom w:w="80" w:type="dxa"/>
              <w:right w:w="100" w:type="dxa"/>
            </w:tcMar>
            <w:vAlign w:val="center"/>
          </w:tcPr>
          <w:p w14:paraId="586A66A9" w14:textId="77777777" w:rsidR="00951385" w:rsidRDefault="00951385"/>
        </w:tc>
      </w:tr>
      <w:tr w:rsidR="00951385" w14:paraId="586A66AF" w14:textId="77777777">
        <w:tblPrEx>
          <w:tblCellMar>
            <w:top w:w="0" w:type="dxa"/>
            <w:bottom w:w="0" w:type="dxa"/>
          </w:tblCellMar>
        </w:tblPrEx>
        <w:tc>
          <w:tcPr>
            <w:tcW w:w="14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vAlign w:val="center"/>
          </w:tcPr>
          <w:p w14:paraId="586A66AB" w14:textId="77777777" w:rsidR="00951385" w:rsidRDefault="00951385"/>
        </w:tc>
        <w:tc>
          <w:tcPr>
            <w:tcW w:w="17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vAlign w:val="center"/>
          </w:tcPr>
          <w:p w14:paraId="586A66AC" w14:textId="77777777" w:rsidR="00951385" w:rsidRDefault="00951385"/>
        </w:tc>
        <w:tc>
          <w:tcPr>
            <w:tcW w:w="3339"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vAlign w:val="center"/>
          </w:tcPr>
          <w:p w14:paraId="586A66AD" w14:textId="77777777" w:rsidR="00951385" w:rsidRDefault="00951385"/>
        </w:tc>
        <w:tc>
          <w:tcPr>
            <w:tcW w:w="3200" w:type="dxa"/>
            <w:tcBorders>
              <w:top w:val="single" w:sz="4" w:space="0" w:color="D3D1C7"/>
              <w:left w:val="single" w:sz="4" w:space="0" w:color="D3D1C7"/>
              <w:bottom w:val="single" w:sz="4" w:space="0" w:color="D3D1C7"/>
              <w:right w:val="single" w:sz="4" w:space="0" w:color="D3D1C7"/>
            </w:tcBorders>
            <w:shd w:val="clear" w:color="auto" w:fill="EBF3FB"/>
            <w:tcMar>
              <w:top w:w="80" w:type="dxa"/>
              <w:left w:w="100" w:type="dxa"/>
              <w:bottom w:w="80" w:type="dxa"/>
              <w:right w:w="100" w:type="dxa"/>
            </w:tcMar>
            <w:vAlign w:val="center"/>
          </w:tcPr>
          <w:p w14:paraId="586A66AE" w14:textId="77777777" w:rsidR="00951385" w:rsidRDefault="00951385"/>
        </w:tc>
      </w:tr>
    </w:tbl>
    <w:p w14:paraId="586A66B0" w14:textId="77777777" w:rsidR="00951385" w:rsidRDefault="00000000">
      <w:pPr>
        <w:spacing w:before="300"/>
      </w:pPr>
      <w:r>
        <w:rPr>
          <w:rFonts w:ascii="Calibri" w:eastAsia="Calibri" w:hAnsi="Calibri" w:cs="Calibri"/>
          <w:i/>
          <w:iCs/>
          <w:color w:val="5F5E5A"/>
          <w:sz w:val="18"/>
          <w:szCs w:val="18"/>
        </w:rPr>
        <w:t>Nota: esta plantilla debe adaptarse a la estructura organizacional, el marco regulatorio y la nomenclatura interna de cada empresa antes de su adopción formal.</w:t>
      </w:r>
    </w:p>
    <w:sectPr w:rsidR="00951385">
      <w:footerReference w:type="default" r:id="rId7"/>
      <w:pgSz w:w="12240" w:h="15840"/>
      <w:pgMar w:top="1134" w:right="1134" w:bottom="1134" w:left="1134" w:header="708"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D6E8D" w14:textId="77777777" w:rsidR="00E25C5E" w:rsidRDefault="00E25C5E">
      <w:r>
        <w:separator/>
      </w:r>
    </w:p>
  </w:endnote>
  <w:endnote w:type="continuationSeparator" w:id="0">
    <w:p w14:paraId="76D0888D" w14:textId="77777777" w:rsidR="00E25C5E" w:rsidRDefault="00E25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A66B1" w14:textId="11CC5C9E" w:rsidR="00951385" w:rsidRDefault="00000000">
    <w:pPr>
      <w:pBdr>
        <w:top w:val="single" w:sz="4" w:space="4" w:color="D3D1C7"/>
      </w:pBdr>
      <w:tabs>
        <w:tab w:val="right" w:pos="9639"/>
      </w:tabs>
    </w:pPr>
    <w:r>
      <w:rPr>
        <w:rFonts w:ascii="Calibri" w:eastAsia="Calibri" w:hAnsi="Calibri" w:cs="Calibri"/>
        <w:color w:val="5F5E5A"/>
        <w:sz w:val="16"/>
        <w:szCs w:val="16"/>
      </w:rPr>
      <w:t>Política de Disposición Final de Activos Tecnológicos</w:t>
    </w:r>
    <w:r>
      <w:rPr>
        <w:rFonts w:ascii="Calibri" w:eastAsia="Calibri" w:hAnsi="Calibri" w:cs="Calibri"/>
        <w:sz w:val="16"/>
        <w:szCs w:val="16"/>
      </w:rPr>
      <w:tab/>
    </w:r>
    <w:r>
      <w:rPr>
        <w:rFonts w:ascii="Calibri" w:eastAsia="Calibri" w:hAnsi="Calibri" w:cs="Calibri"/>
        <w:color w:val="5F5E5A"/>
        <w:sz w:val="16"/>
        <w:szCs w:val="16"/>
      </w:rPr>
      <w:t xml:space="preserve">Página </w:t>
    </w:r>
    <w:r>
      <w:rPr>
        <w:rFonts w:ascii="Calibri" w:eastAsia="Calibri" w:hAnsi="Calibri" w:cs="Calibri"/>
        <w:color w:val="5F5E5A"/>
        <w:sz w:val="16"/>
        <w:szCs w:val="16"/>
      </w:rPr>
      <w:fldChar w:fldCharType="begin"/>
    </w:r>
    <w:r>
      <w:rPr>
        <w:rFonts w:ascii="Calibri" w:eastAsia="Calibri" w:hAnsi="Calibri" w:cs="Calibri"/>
        <w:color w:val="5F5E5A"/>
        <w:sz w:val="16"/>
        <w:szCs w:val="16"/>
      </w:rPr>
      <w:instrText>PAGE</w:instrText>
    </w:r>
    <w:r>
      <w:rPr>
        <w:rFonts w:ascii="Calibri" w:eastAsia="Calibri" w:hAnsi="Calibri" w:cs="Calibri"/>
        <w:color w:val="5F5E5A"/>
        <w:sz w:val="16"/>
        <w:szCs w:val="16"/>
      </w:rPr>
      <w:fldChar w:fldCharType="separate"/>
    </w:r>
    <w:r w:rsidR="009B3453">
      <w:rPr>
        <w:rFonts w:ascii="Calibri" w:eastAsia="Calibri" w:hAnsi="Calibri" w:cs="Calibri"/>
        <w:noProof/>
        <w:color w:val="5F5E5A"/>
        <w:sz w:val="16"/>
        <w:szCs w:val="16"/>
      </w:rPr>
      <w:t>1</w:t>
    </w:r>
    <w:r>
      <w:rPr>
        <w:rFonts w:ascii="Calibri" w:eastAsia="Calibri" w:hAnsi="Calibri" w:cs="Calibri"/>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9C724" w14:textId="77777777" w:rsidR="00E25C5E" w:rsidRDefault="00E25C5E">
      <w:r>
        <w:separator/>
      </w:r>
    </w:p>
  </w:footnote>
  <w:footnote w:type="continuationSeparator" w:id="0">
    <w:p w14:paraId="166733AA" w14:textId="77777777" w:rsidR="00E25C5E" w:rsidRDefault="00E25C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15AD"/>
    <w:multiLevelType w:val="hybridMultilevel"/>
    <w:tmpl w:val="629674BA"/>
    <w:lvl w:ilvl="0" w:tplc="867816BE">
      <w:start w:val="1"/>
      <w:numFmt w:val="bullet"/>
      <w:lvlText w:val="●"/>
      <w:lvlJc w:val="left"/>
      <w:pPr>
        <w:ind w:left="720" w:hanging="360"/>
      </w:pPr>
    </w:lvl>
    <w:lvl w:ilvl="1" w:tplc="B41296F0">
      <w:start w:val="1"/>
      <w:numFmt w:val="bullet"/>
      <w:lvlText w:val="○"/>
      <w:lvlJc w:val="left"/>
      <w:pPr>
        <w:ind w:left="1440" w:hanging="360"/>
      </w:pPr>
    </w:lvl>
    <w:lvl w:ilvl="2" w:tplc="20CA3892">
      <w:start w:val="1"/>
      <w:numFmt w:val="bullet"/>
      <w:lvlText w:val="■"/>
      <w:lvlJc w:val="left"/>
      <w:pPr>
        <w:ind w:left="2160" w:hanging="360"/>
      </w:pPr>
    </w:lvl>
    <w:lvl w:ilvl="3" w:tplc="A7D4E5F0">
      <w:start w:val="1"/>
      <w:numFmt w:val="bullet"/>
      <w:lvlText w:val="●"/>
      <w:lvlJc w:val="left"/>
      <w:pPr>
        <w:ind w:left="2880" w:hanging="360"/>
      </w:pPr>
    </w:lvl>
    <w:lvl w:ilvl="4" w:tplc="EC98499C">
      <w:start w:val="1"/>
      <w:numFmt w:val="bullet"/>
      <w:lvlText w:val="○"/>
      <w:lvlJc w:val="left"/>
      <w:pPr>
        <w:ind w:left="3600" w:hanging="360"/>
      </w:pPr>
    </w:lvl>
    <w:lvl w:ilvl="5" w:tplc="4AC4BC3A">
      <w:start w:val="1"/>
      <w:numFmt w:val="bullet"/>
      <w:lvlText w:val="■"/>
      <w:lvlJc w:val="left"/>
      <w:pPr>
        <w:ind w:left="4320" w:hanging="360"/>
      </w:pPr>
    </w:lvl>
    <w:lvl w:ilvl="6" w:tplc="A27285B6">
      <w:start w:val="1"/>
      <w:numFmt w:val="bullet"/>
      <w:lvlText w:val="●"/>
      <w:lvlJc w:val="left"/>
      <w:pPr>
        <w:ind w:left="5040" w:hanging="360"/>
      </w:pPr>
    </w:lvl>
    <w:lvl w:ilvl="7" w:tplc="216C6EDC">
      <w:start w:val="1"/>
      <w:numFmt w:val="bullet"/>
      <w:lvlText w:val="●"/>
      <w:lvlJc w:val="left"/>
      <w:pPr>
        <w:ind w:left="5760" w:hanging="360"/>
      </w:pPr>
    </w:lvl>
    <w:lvl w:ilvl="8" w:tplc="8806CE84">
      <w:start w:val="1"/>
      <w:numFmt w:val="bullet"/>
      <w:lvlText w:val="●"/>
      <w:lvlJc w:val="left"/>
      <w:pPr>
        <w:ind w:left="6480" w:hanging="360"/>
      </w:pPr>
    </w:lvl>
  </w:abstractNum>
  <w:num w:numId="1" w16cid:durableId="14339343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385"/>
    <w:rsid w:val="000C29F3"/>
    <w:rsid w:val="00951385"/>
    <w:rsid w:val="009B3453"/>
    <w:rsid w:val="00E25C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A6634"/>
  <w15:docId w15:val="{2E4963F8-24FC-4CB6-BFA6-8E71449F8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1580</Words>
  <Characters>8694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2026-09-23T20:23:00Z</dcterms:created>
  <dcterms:modified xsi:type="dcterms:W3CDTF">2026-09-23T20:26:00Z</dcterms:modified>
</cp:coreProperties>
</file>