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0"/>
          <w:szCs w:val="40"/>
        </w:rPr>
        <w:t xml:space="preserve">POLÍTICA DE GESTIÓN DEL</w:t>
      </w:r>
    </w:p>
    <w:p>
      <w:pPr>
        <w:spacing w:after="400" w:before="0"/>
        <w:jc w:val="center"/>
      </w:pPr>
      <w:r>
        <w:rPr>
          <w:rFonts w:ascii="Calibri" w:cs="Calibri" w:eastAsia="Calibri" w:hAnsi="Calibri"/>
          <w:b/>
          <w:bCs/>
          <w:color w:val="1F3864"/>
          <w:sz w:val="40"/>
          <w:szCs w:val="40"/>
        </w:rPr>
        <w:t xml:space="preserve">FIREWALL Y CONTROL DE ACCESO A LA RED</w:t>
      </w:r>
    </w:p>
    <w:p>
      <w:pPr>
        <w:pBdr>
          <w:bottom w:val="single" w:color="185FA5" w:sz="12" w:space="4"/>
        </w:pBdr>
        <w:spacing w:after="800" w:before="0"/>
        <w:jc w:val="center"/>
      </w:pPr>
      <w:r>
        <w:t xml:space="preserve"/>
      </w:r>
    </w:p>
    <w:p>
      <w:pPr>
        <w:spacing w:after="80" w:before="200"/>
        <w:jc w:val="center"/>
      </w:pPr>
      <w:r>
        <w:rPr>
          <w:rFonts w:ascii="Calibri" w:cs="Calibri" w:eastAsia="Calibri" w:hAnsi="Calibri"/>
          <w:b/>
          <w:bCs/>
          <w:color w:val="185FA5"/>
          <w:sz w:val="32"/>
          <w:szCs w:val="32"/>
        </w:rPr>
        <w:t xml:space="preserve">[NOMBRE DE LA EMPRESA]</w:t>
      </w:r>
    </w:p>
    <w:p>
      <w:pPr>
        <w:spacing w:after="400" w:before="0"/>
        <w:jc w:val="center"/>
      </w:pPr>
      <w:r>
        <w:rPr>
          <w:rFonts w:ascii="Calibri" w:cs="Calibri" w:eastAsia="Calibri" w:hAnsi="Calibri"/>
          <w:color w:val="595959"/>
          <w:sz w:val="22"/>
          <w:szCs w:val="22"/>
        </w:rPr>
        <w:t xml:space="preserve">Área de Seguridad de la Información / TI</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Versión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1.0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Fecha de emisión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[DD/MM/AAAA]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Próxima revisión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[DD/MM/AAAA]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Clasificación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USO INTERNO</w:t>
            </w:r>
          </w:p>
        </w:tc>
      </w:tr>
    </w:tbl>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Control de Versiones y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rPr>
          <w:tblHeader/>
        </w:trP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Versión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Fecha</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Descripción del Cambio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Aprobado por</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1.0</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[DD/MM/AAAA]</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Emisión inicial del documento</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[Nombre / Cargo]</w:t>
            </w:r>
          </w:p>
        </w:tc>
      </w:tr>
      <w:tr>
        <w:tc>
          <w:tcPr>
            <w:tcW w:type="dxa" w:w="1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 ]</w:t>
            </w:r>
          </w:p>
        </w:tc>
        <w:tc>
          <w:tcPr>
            <w:tcW w:type="dxa" w:w="1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 ]</w:t>
            </w:r>
          </w:p>
        </w:tc>
        <w:tc>
          <w:tcPr>
            <w:tcW w:type="dxa" w:w="3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 ]</w:t>
            </w:r>
          </w:p>
        </w:tc>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 ]</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 ]</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 ]</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 ]</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 ]</w:t>
            </w:r>
          </w:p>
        </w:tc>
      </w:tr>
    </w:tbl>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Firmas de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Elaborado por</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Revisado por</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Aprobado por</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______________________
[Nombre]
[Cargo]
[Fecha]</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______________________
[Nombre]
[Cargo]
[Fecha]</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______________________
[Nombre]
[Cargo]
[Fecha]</w:t>
            </w:r>
          </w:p>
        </w:tc>
      </w:tr>
    </w:tbl>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1. Propósito y Alcance</w:t>
      </w:r>
    </w:p>
    <w:p>
      <w:pPr>
        <w:pStyle w:val="Heading2"/>
        <w:spacing w:after="80" w:before="280"/>
      </w:pPr>
      <w:r>
        <w:rPr>
          <w:rFonts w:ascii="Calibri" w:cs="Calibri" w:eastAsia="Calibri" w:hAnsi="Calibri"/>
          <w:b/>
          <w:bCs/>
          <w:color w:val="185FA5"/>
          <w:sz w:val="26"/>
          <w:szCs w:val="26"/>
        </w:rPr>
        <w:t xml:space="preserve">1.1 Propósito</w:t>
      </w:r>
    </w:p>
    <w:p>
      <w:pPr>
        <w:spacing w:after="60" w:before="60"/>
        <w:jc w:val="both"/>
      </w:pPr>
      <w:r>
        <w:rPr>
          <w:rFonts w:ascii="Georgia" w:cs="Georgia" w:eastAsia="Georgia" w:hAnsi="Georgia"/>
          <w:color w:val="595959"/>
          <w:sz w:val="20"/>
          <w:szCs w:val="20"/>
        </w:rPr>
        <w:t xml:space="preserve">La presente política establece los requerimientos mínimos para la gestión segura del firewall y el control de acceso a la red en [NOMBRE DE LA EMPRESA]. Su objetivo es garantizar que el tráfico de red entrante y saliente esté controlado, que los segmentos de la infraestructura estén correctamente aislados, y que el equipo de TI cuente con los procedimientos necesarios para administrar, auditar y responder a eventos relacionados con el perímetro de red.</w:t>
      </w:r>
    </w:p>
    <w:p>
      <w:pPr>
        <w:spacing w:after="60" w:before="60"/>
      </w:pPr>
      <w:r>
        <w:t xml:space="preserve"/>
      </w:r>
    </w:p>
    <w:p>
      <w:pPr>
        <w:pBdr>
          <w:left w:val="single" w:color="BA7517" w:sz="20" w:space="12"/>
        </w:pBdr>
        <w:shd w:fill="FFF8EC" w:val="clear"/>
        <w:spacing w:after="160" w:before="160"/>
        <w:ind w:left="720"/>
      </w:pPr>
      <w:r>
        <w:rPr>
          <w:rFonts w:ascii="Georgia" w:cs="Georgia" w:eastAsia="Georgia" w:hAnsi="Georgia"/>
          <w:i/>
          <w:iCs/>
          <w:color w:val="5C3D00"/>
          <w:sz w:val="19"/>
          <w:szCs w:val="19"/>
        </w:rPr>
        <w:t xml:space="preserve">NOTA PARA EL LECTOR: Complete los campos marcados en [corchetes] con la información específica de su organización. Esta plantilla está alineada con los principios del marco NIST CSF 2.0 y las guías de mejores prácticas NIST SP 800-41 para gestión de firewalls.</w:t>
      </w:r>
    </w:p>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1.2 Alcance</w:t>
      </w:r>
    </w:p>
    <w:p>
      <w:pPr>
        <w:spacing w:after="60" w:before="60"/>
        <w:jc w:val="both"/>
      </w:pPr>
      <w:r>
        <w:rPr>
          <w:rFonts w:ascii="Georgia" w:cs="Georgia" w:eastAsia="Georgia" w:hAnsi="Georgia"/>
          <w:color w:val="595959"/>
          <w:sz w:val="20"/>
          <w:szCs w:val="20"/>
        </w:rPr>
        <w:t xml:space="preserve">Esta política aplica a:</w:t>
      </w:r>
    </w:p>
    <w:p>
      <w:pPr>
        <w:pStyle w:val="ListParagraph"/>
        <w:numPr>
          <w:ilvl w:val="0"/>
          <w:numId w:val="2"/>
        </w:numPr>
        <w:spacing w:after="40" w:before="40"/>
      </w:pPr>
      <w:r>
        <w:rPr>
          <w:rFonts w:ascii="Georgia" w:cs="Georgia" w:eastAsia="Georgia" w:hAnsi="Georgia"/>
          <w:color w:val="595959"/>
          <w:sz w:val="20"/>
          <w:szCs w:val="20"/>
        </w:rPr>
        <w:t xml:space="preserve">Todos los firewalls perimetrales, internos y en la nube de la organización</w:t>
      </w:r>
    </w:p>
    <w:p>
      <w:pPr>
        <w:pStyle w:val="ListParagraph"/>
        <w:numPr>
          <w:ilvl w:val="0"/>
          <w:numId w:val="2"/>
        </w:numPr>
        <w:spacing w:after="40" w:before="40"/>
      </w:pPr>
      <w:r>
        <w:rPr>
          <w:rFonts w:ascii="Georgia" w:cs="Georgia" w:eastAsia="Georgia" w:hAnsi="Georgia"/>
          <w:color w:val="595959"/>
          <w:sz w:val="20"/>
          <w:szCs w:val="20"/>
        </w:rPr>
        <w:t xml:space="preserve">Los dispositivos de red, servidores y sistemas que dependen de las reglas de firewall para su operación</w:t>
      </w:r>
    </w:p>
    <w:p>
      <w:pPr>
        <w:pStyle w:val="ListParagraph"/>
        <w:numPr>
          <w:ilvl w:val="0"/>
          <w:numId w:val="2"/>
        </w:numPr>
        <w:spacing w:after="40" w:before="40"/>
      </w:pPr>
      <w:r>
        <w:rPr>
          <w:rFonts w:ascii="Georgia" w:cs="Georgia" w:eastAsia="Georgia" w:hAnsi="Georgia"/>
          <w:color w:val="595959"/>
          <w:sz w:val="20"/>
          <w:szCs w:val="20"/>
        </w:rPr>
        <w:t xml:space="preserve">El personal de TI, administradores de red y proveedores con acceso a la consola de administración de los firewalls</w:t>
      </w:r>
    </w:p>
    <w:p>
      <w:pPr>
        <w:pStyle w:val="ListParagraph"/>
        <w:numPr>
          <w:ilvl w:val="0"/>
          <w:numId w:val="2"/>
        </w:numPr>
        <w:spacing w:after="40" w:before="40"/>
      </w:pPr>
      <w:r>
        <w:rPr>
          <w:rFonts w:ascii="Georgia" w:cs="Georgia" w:eastAsia="Georgia" w:hAnsi="Georgia"/>
          <w:color w:val="595959"/>
          <w:sz w:val="20"/>
          <w:szCs w:val="20"/>
        </w:rPr>
        <w:t xml:space="preserve">Las VLANs, DMZ y segmentos de red definidos en la arquitectura de la organización</w:t>
      </w:r>
    </w:p>
    <w:p>
      <w:pPr>
        <w:pStyle w:val="ListParagraph"/>
        <w:numPr>
          <w:ilvl w:val="0"/>
          <w:numId w:val="2"/>
        </w:numPr>
        <w:spacing w:after="40" w:before="40"/>
      </w:pPr>
      <w:r>
        <w:rPr>
          <w:rFonts w:ascii="Georgia" w:cs="Georgia" w:eastAsia="Georgia" w:hAnsi="Georgia"/>
          <w:color w:val="595959"/>
          <w:sz w:val="20"/>
          <w:szCs w:val="20"/>
        </w:rPr>
        <w:t xml:space="preserve">Las conexiones VPN de acceso remoto y sitio a sitio gestionadas por el equipo de TI</w:t>
      </w:r>
    </w:p>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1.3 Marco Normativo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Marco / Norma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Control o Requerimiento Relacionado</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NIST CSF 2.0 — PR.AC</w:t>
            </w:r>
          </w:p>
        </w:tc>
        <w:tc>
          <w:tcPr>
            <w:tcW w:type="dxa" w:w="6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Control de acceso: gestión de identidades y autenticación</w:t>
            </w:r>
          </w:p>
        </w:tc>
      </w:tr>
      <w:tr>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NIST CSF 2.0 — PR.IP</w:t>
            </w:r>
          </w:p>
        </w:tc>
        <w:tc>
          <w:tcPr>
            <w:tcW w:type="dxa" w:w="6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Procesos y procedimientos de protección de la información</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NIST CSF 2.0 — DE.CM</w:t>
            </w:r>
          </w:p>
        </w:tc>
        <w:tc>
          <w:tcPr>
            <w:tcW w:type="dxa" w:w="6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Monitorización continua de la infraestructura de red</w:t>
            </w:r>
          </w:p>
        </w:tc>
      </w:tr>
      <w:tr>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NIST SP 800-41 Rev.1</w:t>
            </w:r>
          </w:p>
        </w:tc>
        <w:tc>
          <w:tcPr>
            <w:tcW w:type="dxa" w:w="6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Guía para políticas y administración de firewalls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NIST SP 800-53 — SC-7</w:t>
            </w:r>
          </w:p>
        </w:tc>
        <w:tc>
          <w:tcPr>
            <w:tcW w:type="dxa" w:w="6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Protección de fronteras de red (Boundary Protection)</w:t>
            </w:r>
          </w:p>
        </w:tc>
      </w:tr>
    </w:tbl>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2. Roles y Responsabilidades</w:t>
      </w:r>
    </w:p>
    <w:p>
      <w:pPr>
        <w:spacing w:after="60" w:before="60"/>
        <w:jc w:val="both"/>
      </w:pPr>
      <w:r>
        <w:rPr>
          <w:rFonts w:ascii="Georgia" w:cs="Georgia" w:eastAsia="Georgia" w:hAnsi="Georgia"/>
          <w:color w:val="595959"/>
          <w:sz w:val="20"/>
          <w:szCs w:val="20"/>
        </w:rPr>
        <w:t xml:space="preserve">La siguiente tabla define los responsables del cumplimiento de esta política: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Rol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Responsable</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Responsabilidades Clave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Propietario de la Política</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[Cargo: CISO / Gerente TI]</w:t>
            </w:r>
          </w:p>
        </w:tc>
        <w:tc>
          <w:tcPr>
            <w:tcW w:type="dxa" w:w="4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Aprobación, revisión anual y actualización de esta política</w:t>
            </w:r>
          </w:p>
        </w:tc>
      </w:tr>
      <w:tr>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Administrador de Firewall</w:t>
            </w:r>
          </w:p>
        </w:tc>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[Cargo: Administrador de Red / Sysadmin]</w:t>
            </w:r>
          </w:p>
        </w:tc>
        <w:tc>
          <w:tcPr>
            <w:tcW w:type="dxa" w:w="4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Configuración, monitoreo y gestión de cambios en reglas de firewall</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Oficial de Seguridad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[Cargo: ISO / Analista de Seguridad]</w:t>
            </w:r>
          </w:p>
        </w:tc>
        <w:tc>
          <w:tcPr>
            <w:tcW w:type="dxa" w:w="4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Auditoría de cumplimiento, revisión de logs, gestión de incidentes de red</w:t>
            </w:r>
          </w:p>
        </w:tc>
      </w:tr>
      <w:tr>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Usuarios / Sistemas</w:t>
            </w:r>
          </w:p>
        </w:tc>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Todo el personal y sistemas internos</w:t>
            </w:r>
          </w:p>
        </w:tc>
        <w:tc>
          <w:tcPr>
            <w:tcW w:type="dxa" w:w="4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No modificar configuraciones de red; usar únicamente los canales autorizados</w:t>
            </w:r>
          </w:p>
        </w:tc>
      </w:tr>
    </w:tbl>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3. Inventario y Configuración del Firewall</w:t>
      </w:r>
    </w:p>
    <w:p>
      <w:pPr>
        <w:pStyle w:val="Heading2"/>
        <w:spacing w:after="80" w:before="280"/>
      </w:pPr>
      <w:r>
        <w:rPr>
          <w:rFonts w:ascii="Calibri" w:cs="Calibri" w:eastAsia="Calibri" w:hAnsi="Calibri"/>
          <w:b/>
          <w:bCs/>
          <w:color w:val="185FA5"/>
          <w:sz w:val="26"/>
          <w:szCs w:val="26"/>
        </w:rPr>
        <w:t xml:space="preserve">3.1 Firewalls Autorizados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2"/>
              <w:left w:val="single" w:color="185FA5" w:sz="24"/>
              <w:bottom w:val="single" w:color="185FA5" w:sz="12"/>
              <w:right w:val="single" w:color="185FA5" w:sz="12"/>
            </w:tcBorders>
            <w:shd w:fill="EBF3FB" w:val="clear"/>
            <w:tcMar>
              <w:top w:type="dxa" w:w="120"/>
              <w:left w:type="dxa" w:w="160"/>
              <w:bottom w:type="dxa" w:w="120"/>
              <w:right w:type="dxa" w:w="160"/>
            </w:tcMar>
          </w:tcPr>
          <w:p>
            <w:r>
              <w:rPr>
                <w:rFonts w:ascii="Georgia" w:cs="Georgia" w:eastAsia="Georgia" w:hAnsi="Georgia"/>
                <w:b/>
                <w:bCs/>
                <w:color w:val="1F3864"/>
                <w:sz w:val="19"/>
                <w:szCs w:val="19"/>
              </w:rPr>
              <w:t xml:space="preserve">REQUERIMIENTO OBLIGATORIO: Únicamente los firewalls documentados y aprobados por el equipo de TI pueden gestionar el tráfico de red corporativo. Está prohibida la instalación de firewalls no autorizados o la modificación de reglas fuera del proceso formal de gestión de cambios.</w:t>
            </w:r>
          </w:p>
        </w:tc>
      </w:tr>
    </w:tbl>
    <w:p>
      <w:pPr>
        <w:spacing w:after="60" w:before="60"/>
      </w:pPr>
      <w:r>
        <w:t xml:space="preserve"/>
      </w:r>
    </w:p>
    <w:p>
      <w:pPr>
        <w:spacing w:after="60" w:before="60"/>
        <w:jc w:val="both"/>
      </w:pPr>
      <w:r>
        <w:rPr>
          <w:rFonts w:ascii="Georgia" w:cs="Georgia" w:eastAsia="Georgia" w:hAnsi="Georgia"/>
          <w:color w:val="595959"/>
          <w:sz w:val="20"/>
          <w:szCs w:val="20"/>
        </w:rPr>
        <w:t xml:space="preserve">Los firewalls corporativos autorizados 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560"/>
        <w:gridCol w:w="1600"/>
      </w:tblGrid>
      <w:tr>
        <w:trPr>
          <w:tblHeader/>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Nombre / Hostname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Dirección IP</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Función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Ubicación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Proveedor / S.O.</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[fw01.empresa.com]</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[10.x.x.x]</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Firewall perimetral principal</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[Sede principal]</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[Fortinet / pfSense]</w:t>
            </w:r>
          </w:p>
        </w:tc>
      </w:tr>
      <w:tr>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[fw02.empresa.com]</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[10.x.x.x]</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Firewall interno / segmentación</w:t>
            </w:r>
          </w:p>
        </w:tc>
        <w:tc>
          <w:tcPr>
            <w:tcW w:type="dxa" w:w="1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[Sede / Nube]</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[pfSense / OPNsense]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[cloud-fw01]</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[x.x.x.x]</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WAF / Firewall cloud</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[Nube AWS / Azure]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[AWS WAF / Azure FW]</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3.2 Parámetros de Configuración Segura</w:t>
      </w:r>
    </w:p>
    <w:p>
      <w:pPr>
        <w:spacing w:after="60" w:before="60"/>
        <w:jc w:val="both"/>
      </w:pPr>
      <w:r>
        <w:rPr>
          <w:rFonts w:ascii="Georgia" w:cs="Georgia" w:eastAsia="Georgia" w:hAnsi="Georgia"/>
          <w:color w:val="595959"/>
          <w:sz w:val="20"/>
          <w:szCs w:val="20"/>
        </w:rPr>
        <w:t xml:space="preserve">Todos los firewalls deben configurarse conforme a los siguientes parámetros mínimos: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Parámetro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Valor Requerido</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Justificación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Política por defecto (inbound)</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DENY ALL — permitir por excepción explícita</w:t>
            </w:r>
          </w:p>
        </w:tc>
        <w:tc>
          <w:tcPr>
            <w:tcW w:type="dxa" w:w="3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Principio de mínimo privilegio; bloquea tráfico no autorizado</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Política por defecto (outbound)</w:t>
            </w:r>
          </w:p>
        </w:tc>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DENY ALL — permitir servicios autorizados</w:t>
            </w:r>
          </w:p>
        </w:tc>
        <w:tc>
          <w:tcPr>
            <w:tcW w:type="dxa" w:w="3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Controla exfiltración de datos y conexiones maliciosas salientes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Reglas de acceso hacia DMZ</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Permitido solo desde Internet hacia servicios publicados; denegado hacia red interna</w:t>
            </w:r>
          </w:p>
        </w:tc>
        <w:tc>
          <w:tcPr>
            <w:tcW w:type="dxa" w:w="3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Aísla servicios públicos de la red corporativa</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Inspección de estado (Stateful)</w:t>
            </w:r>
          </w:p>
        </w:tc>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Obligatoria en todos los firewalls perimetrales</w:t>
            </w:r>
          </w:p>
        </w:tc>
        <w:tc>
          <w:tcPr>
            <w:tcW w:type="dxa" w:w="3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Controla sesiones y bloquea paquetes no asociados a conexiones válidas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Inspección profunda (DPI)</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Habilitada según capacidad del dispositivo</w:t>
            </w:r>
          </w:p>
        </w:tc>
        <w:tc>
          <w:tcPr>
            <w:tcW w:type="dxa" w:w="3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Detecta amenazas embebidas en tráfico cifrado o de aplicación</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Gestión de NAT</w:t>
            </w:r>
          </w:p>
        </w:tc>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Documentada y revisada trimestralmente</w:t>
            </w:r>
          </w:p>
        </w:tc>
        <w:tc>
          <w:tcPr>
            <w:tcW w:type="dxa" w:w="3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Evita conflictos de direccionamiento y exposición involuntaria</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Anti-spoofing (uRPF)</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Habilitado en interfaces externas</w:t>
            </w:r>
          </w:p>
        </w:tc>
        <w:tc>
          <w:tcPr>
            <w:tcW w:type="dxa" w:w="3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Bloquea paquetes con dirección de origen falsificada</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Geo-blocking</w:t>
            </w:r>
          </w:p>
        </w:tc>
        <w:tc>
          <w:tcPr>
            <w:tcW w:type="dxa" w:w="3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Opcional; documentar excepciones</w:t>
            </w:r>
          </w:p>
        </w:tc>
        <w:tc>
          <w:tcPr>
            <w:tcW w:type="dxa" w:w="3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Reduce superficie de ataque desde países sin relación comercial</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3.3 Puertos y Servicios Autorizados</w:t>
      </w:r>
    </w:p>
    <w:p>
      <w:pPr>
        <w:spacing w:after="60" w:before="60"/>
        <w:jc w:val="both"/>
      </w:pPr>
      <w:r>
        <w:rPr>
          <w:rFonts w:ascii="Georgia" w:cs="Georgia" w:eastAsia="Georgia" w:hAnsi="Georgia"/>
          <w:color w:val="595959"/>
          <w:sz w:val="20"/>
          <w:szCs w:val="20"/>
        </w:rPr>
        <w:t xml:space="preserve">La siguiente tabla define los puertos y servicios de red autorizados. Todo tráfico no incluido en esta lista está bloqueado por defecto. Las excepciones deben seguir el proceso de gestión de cambios definido en la sección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160"/>
        <w:gridCol w:w="2200"/>
      </w:tblGrid>
      <w:tr>
        <w:trPr>
          <w:tblHeader/>
        </w:trP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Puerto / Protocolo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Dirección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Servicio Autorizado</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Origen Permitido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Justificación</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TCP 443</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Entrante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HTTPS (sitio web / VPN)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Internet (Any)</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Acceso a servicios web publicados</w:t>
            </w:r>
          </w:p>
        </w:tc>
      </w:tr>
      <w:tr>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TCP 80</w:t>
            </w:r>
          </w:p>
        </w:tc>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Entrante</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HTTP (redirección a HTTPS)</w:t>
            </w:r>
          </w:p>
        </w:tc>
        <w:tc>
          <w:tcPr>
            <w:tcW w:type="dxa" w:w="2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Internet (Any)</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Redirigir a HTTPS; bloquear si no aplica</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UDP 1194 / TCP 443</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Entrante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OpenVPN / SSL VPN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Usuarios remotos autorizados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Acceso remoto seguro para colaboradores</w:t>
            </w:r>
          </w:p>
        </w:tc>
      </w:tr>
      <w:tr>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TCP 25</w:t>
            </w:r>
          </w:p>
        </w:tc>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Saliente</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SMTP relay a proveedor de correo</w:t>
            </w:r>
          </w:p>
        </w:tc>
        <w:tc>
          <w:tcPr>
            <w:tcW w:type="dxa" w:w="2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Red interna → MTA autorizado</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Entrega de correo corporativo</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TCP 22</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Administración interna</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SSH a servidores internos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Solo desde VLAN de administración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Gestión remota segura de servidores</w:t>
            </w:r>
          </w:p>
        </w:tc>
      </w:tr>
      <w:tr>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ICMP Echo</w:t>
            </w:r>
          </w:p>
        </w:tc>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Interno</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Diagnóstico (ping)</w:t>
            </w:r>
          </w:p>
        </w:tc>
        <w:tc>
          <w:tcPr>
            <w:tcW w:type="dxa" w:w="2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Solo hosts TI autorizados</w:t>
            </w:r>
          </w:p>
        </w:tc>
        <w:tc>
          <w:tcPr>
            <w:tcW w:type="dxa" w:w="22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Monitoreo de disponibilidad</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Cualquier otro</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Cualquier dirección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BLOQUEADO</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N/A</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Política de denegación por defecto</w:t>
            </w:r>
          </w:p>
        </w:tc>
      </w:tr>
    </w:tbl>
    <w:p>
      <w:pPr>
        <w:spacing w:after="60" w:before="60"/>
      </w:pPr>
      <w:r>
        <w:t xml:space="preserve"/>
      </w:r>
    </w:p>
    <w:p>
      <w:pPr>
        <w:pBdr>
          <w:left w:val="single" w:color="BA7517" w:sz="20" w:space="12"/>
        </w:pBdr>
        <w:shd w:fill="FFF8EC" w:val="clear"/>
        <w:spacing w:after="160" w:before="160"/>
        <w:ind w:left="720"/>
      </w:pPr>
      <w:r>
        <w:rPr>
          <w:rFonts w:ascii="Georgia" w:cs="Georgia" w:eastAsia="Georgia" w:hAnsi="Georgia"/>
          <w:i/>
          <w:iCs/>
          <w:color w:val="5C3D00"/>
          <w:sz w:val="19"/>
          <w:szCs w:val="19"/>
        </w:rPr>
        <w:t xml:space="preserve">NOTA: Esta tabla debe mantenerse actualizada. Cada vez que se autorice un nuevo servicio o se retire uno existente, la tabla debe ser revisada y aprobada por el Administrador de Firewall y el Oficial de Seguridad.</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4. Segmentación de Red y Control de Acceso</w:t>
      </w:r>
    </w:p>
    <w:p>
      <w:pPr>
        <w:pStyle w:val="Heading2"/>
        <w:spacing w:after="80" w:before="280"/>
      </w:pPr>
      <w:r>
        <w:rPr>
          <w:rFonts w:ascii="Calibri" w:cs="Calibri" w:eastAsia="Calibri" w:hAnsi="Calibri"/>
          <w:b/>
          <w:bCs/>
          <w:color w:val="185FA5"/>
          <w:sz w:val="26"/>
          <w:szCs w:val="26"/>
        </w:rPr>
        <w:t xml:space="preserve">4.1 Principios de Segmentación</w:t>
      </w:r>
    </w:p>
    <w:p>
      <w:pPr>
        <w:spacing w:after="60" w:before="60"/>
        <w:jc w:val="both"/>
      </w:pPr>
      <w:r>
        <w:rPr>
          <w:rFonts w:ascii="Georgia" w:cs="Georgia" w:eastAsia="Georgia" w:hAnsi="Georgia"/>
          <w:color w:val="595959"/>
          <w:sz w:val="20"/>
          <w:szCs w:val="20"/>
        </w:rPr>
        <w:t xml:space="preserve">La arquitectura de red de la organización debe implementar los siguientes segmentos mínimos, cada uno con su propia política de acceso:</w:t>
      </w:r>
    </w:p>
    <w:p>
      <w:pPr>
        <w:pStyle w:val="ListParagraph"/>
        <w:numPr>
          <w:ilvl w:val="0"/>
          <w:numId w:val="2"/>
        </w:numPr>
        <w:spacing w:after="40" w:before="40"/>
      </w:pPr>
      <w:r>
        <w:rPr>
          <w:rFonts w:ascii="Georgia" w:cs="Georgia" w:eastAsia="Georgia" w:hAnsi="Georgia"/>
          <w:color w:val="595959"/>
          <w:sz w:val="20"/>
          <w:szCs w:val="20"/>
        </w:rPr>
        <w:t xml:space="preserve">VLAN de Usuarios: segmento para equipos de escritorio, portátiles y dispositivos de trabajo de los colaboradores. No debe tener acceso directo a servidores de producción ni a la consola de administración de los firewalls.</w:t>
      </w:r>
    </w:p>
    <w:p>
      <w:pPr>
        <w:pStyle w:val="ListParagraph"/>
        <w:numPr>
          <w:ilvl w:val="0"/>
          <w:numId w:val="2"/>
        </w:numPr>
        <w:spacing w:after="40" w:before="40"/>
      </w:pPr>
      <w:r>
        <w:rPr>
          <w:rFonts w:ascii="Georgia" w:cs="Georgia" w:eastAsia="Georgia" w:hAnsi="Georgia"/>
          <w:color w:val="595959"/>
          <w:sz w:val="20"/>
          <w:szCs w:val="20"/>
        </w:rPr>
        <w:t xml:space="preserve">VLAN de Servidores: segmento para servidores de aplicaciones, bases de datos y servicios internos. El acceso desde la VLAN de Usuarios debe estar restringido a los puertos y servicios específicos que cada sistema requiere.</w:t>
      </w:r>
    </w:p>
    <w:p>
      <w:pPr>
        <w:pStyle w:val="ListParagraph"/>
        <w:numPr>
          <w:ilvl w:val="0"/>
          <w:numId w:val="2"/>
        </w:numPr>
        <w:spacing w:after="40" w:before="40"/>
      </w:pPr>
      <w:r>
        <w:rPr>
          <w:rFonts w:ascii="Georgia" w:cs="Georgia" w:eastAsia="Georgia" w:hAnsi="Georgia"/>
          <w:color w:val="595959"/>
          <w:sz w:val="20"/>
          <w:szCs w:val="20"/>
        </w:rPr>
        <w:t xml:space="preserve">VLAN de Administración: segmento exclusivo para el acceso de administración a dispositivos de red, firewalls, servidores y herramientas de gestión. Accesible únicamente desde dispositivos del equipo de TI y preferiblemente solo a través de conexión cableada.</w:t>
      </w:r>
    </w:p>
    <w:p>
      <w:pPr>
        <w:pStyle w:val="ListParagraph"/>
        <w:numPr>
          <w:ilvl w:val="0"/>
          <w:numId w:val="2"/>
        </w:numPr>
        <w:spacing w:after="40" w:before="40"/>
      </w:pPr>
      <w:r>
        <w:rPr>
          <w:rFonts w:ascii="Georgia" w:cs="Georgia" w:eastAsia="Georgia" w:hAnsi="Georgia"/>
          <w:color w:val="595959"/>
          <w:sz w:val="20"/>
          <w:szCs w:val="20"/>
        </w:rPr>
        <w:t xml:space="preserve">DMZ (Zona Desmilitarizada): segmento para servicios accesibles desde Internet (servidores web, proxies de correo, etc.). Aislada de la red interna; el tráfico desde la DMZ hacia la red interna debe estar explícitamente bloqueado salvo excepciones documentadas.</w:t>
      </w:r>
    </w:p>
    <w:p>
      <w:pPr>
        <w:pStyle w:val="ListParagraph"/>
        <w:numPr>
          <w:ilvl w:val="0"/>
          <w:numId w:val="2"/>
        </w:numPr>
        <w:spacing w:after="40" w:before="40"/>
      </w:pPr>
      <w:r>
        <w:rPr>
          <w:rFonts w:ascii="Georgia" w:cs="Georgia" w:eastAsia="Georgia" w:hAnsi="Georgia"/>
          <w:color w:val="595959"/>
          <w:sz w:val="20"/>
          <w:szCs w:val="20"/>
        </w:rPr>
        <w:t xml:space="preserve">VLAN de Invitados / WiFi invitados: segmento para dispositivos no corporativos. Sin acceso a ningún segmento interno; únicamente salida a Internet con filtrado básico de contenidos.</w:t>
      </w:r>
    </w:p>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4.2 Acceso Remoto mediante VPN</w:t>
      </w:r>
    </w:p>
    <w:p>
      <w:pPr>
        <w:spacing w:after="60" w:before="60"/>
        <w:jc w:val="both"/>
      </w:pPr>
      <w:r>
        <w:rPr>
          <w:rFonts w:ascii="Georgia" w:cs="Georgia" w:eastAsia="Georgia" w:hAnsi="Georgia"/>
          <w:color w:val="595959"/>
          <w:sz w:val="20"/>
          <w:szCs w:val="20"/>
        </w:rPr>
        <w:t xml:space="preserve">El acceso remoto a la red corporativa debe realizarse exclusivamente a través del servicio VPN autorizado. Los requerimientos mínimos para el acceso VPN son:</w:t>
      </w:r>
    </w:p>
    <w:p>
      <w:pPr>
        <w:pStyle w:val="ListParagraph"/>
        <w:numPr>
          <w:ilvl w:val="0"/>
          <w:numId w:val="2"/>
        </w:numPr>
        <w:spacing w:after="40" w:before="40"/>
      </w:pPr>
      <w:r>
        <w:rPr>
          <w:rFonts w:ascii="Georgia" w:cs="Georgia" w:eastAsia="Georgia" w:hAnsi="Georgia"/>
          <w:color w:val="595959"/>
          <w:sz w:val="20"/>
          <w:szCs w:val="20"/>
        </w:rPr>
        <w:t xml:space="preserve">Autenticación multifactorial (MFA) obligatoria para todos los usuarios de VPN.</w:t>
      </w:r>
    </w:p>
    <w:p>
      <w:pPr>
        <w:pStyle w:val="ListParagraph"/>
        <w:numPr>
          <w:ilvl w:val="0"/>
          <w:numId w:val="2"/>
        </w:numPr>
        <w:spacing w:after="40" w:before="40"/>
      </w:pPr>
      <w:r>
        <w:rPr>
          <w:rFonts w:ascii="Georgia" w:cs="Georgia" w:eastAsia="Georgia" w:hAnsi="Georgia"/>
          <w:color w:val="595959"/>
          <w:sz w:val="20"/>
          <w:szCs w:val="20"/>
        </w:rPr>
        <w:t xml:space="preserve">Asignación de direcciones IP del pool VPN a un segmento diferente del de usuarios internos, con acceso restringido a los recursos que cada usuario necesita (split tunneling controlado o tunneling completo).</w:t>
      </w:r>
    </w:p>
    <w:p>
      <w:pPr>
        <w:pStyle w:val="ListParagraph"/>
        <w:numPr>
          <w:ilvl w:val="0"/>
          <w:numId w:val="2"/>
        </w:numPr>
        <w:spacing w:after="40" w:before="40"/>
      </w:pPr>
      <w:r>
        <w:rPr>
          <w:rFonts w:ascii="Georgia" w:cs="Georgia" w:eastAsia="Georgia" w:hAnsi="Georgia"/>
          <w:color w:val="595959"/>
          <w:sz w:val="20"/>
          <w:szCs w:val="20"/>
        </w:rPr>
        <w:t xml:space="preserve">Registro de todas las sesiones VPN: usuario, hora de inicio, hora de cierre, dirección IP de origen.</w:t>
      </w:r>
    </w:p>
    <w:p>
      <w:pPr>
        <w:pStyle w:val="ListParagraph"/>
        <w:numPr>
          <w:ilvl w:val="0"/>
          <w:numId w:val="2"/>
        </w:numPr>
        <w:spacing w:after="40" w:before="40"/>
      </w:pPr>
      <w:r>
        <w:rPr>
          <w:rFonts w:ascii="Georgia" w:cs="Georgia" w:eastAsia="Georgia" w:hAnsi="Georgia"/>
          <w:color w:val="595959"/>
          <w:sz w:val="20"/>
          <w:szCs w:val="20"/>
        </w:rPr>
        <w:t xml:space="preserve">Revocación inmediata del acceso VPN ante cese de relación laboral o contractual del usuario.</w:t>
      </w:r>
    </w:p>
    <w:p>
      <w:pPr>
        <w:pStyle w:val="ListParagraph"/>
        <w:numPr>
          <w:ilvl w:val="0"/>
          <w:numId w:val="2"/>
        </w:numPr>
        <w:spacing w:after="40" w:before="40"/>
      </w:pPr>
      <w:r>
        <w:rPr>
          <w:rFonts w:ascii="Georgia" w:cs="Georgia" w:eastAsia="Georgia" w:hAnsi="Georgia"/>
          <w:color w:val="595959"/>
          <w:sz w:val="20"/>
          <w:szCs w:val="20"/>
        </w:rPr>
        <w:t xml:space="preserve">Las cuentas VPN inactivas por más de [60] días deben ser deshabilitadas automáticamente.</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5. Gestión de Cambios en el Firewall</w:t>
      </w:r>
    </w:p>
    <w:p>
      <w:pPr>
        <w:pStyle w:val="Heading2"/>
        <w:spacing w:after="80" w:before="280"/>
      </w:pPr>
      <w:r>
        <w:rPr>
          <w:rFonts w:ascii="Calibri" w:cs="Calibri" w:eastAsia="Calibri" w:hAnsi="Calibri"/>
          <w:b/>
          <w:bCs/>
          <w:color w:val="185FA5"/>
          <w:sz w:val="26"/>
          <w:szCs w:val="26"/>
        </w:rPr>
        <w:t xml:space="preserve">5.1 Proceso de Cambios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2"/>
              <w:left w:val="single" w:color="185FA5" w:sz="24"/>
              <w:bottom w:val="single" w:color="185FA5" w:sz="12"/>
              <w:right w:val="single" w:color="185FA5" w:sz="12"/>
            </w:tcBorders>
            <w:shd w:fill="EBF3FB" w:val="clear"/>
            <w:tcMar>
              <w:top w:type="dxa" w:w="120"/>
              <w:left w:type="dxa" w:w="160"/>
              <w:bottom w:type="dxa" w:w="120"/>
              <w:right w:type="dxa" w:w="160"/>
            </w:tcMar>
          </w:tcPr>
          <w:p>
            <w:r>
              <w:rPr>
                <w:rFonts w:ascii="Georgia" w:cs="Georgia" w:eastAsia="Georgia" w:hAnsi="Georgia"/>
                <w:b/>
                <w:bCs/>
                <w:color w:val="1F3864"/>
                <w:sz w:val="19"/>
                <w:szCs w:val="19"/>
              </w:rPr>
              <w:t xml:space="preserve">Todo cambio en la configuración del firewall (reglas, políticas, NAT, VPN, ACLs) debe seguir el proceso formal de gestión de cambios de la organización. Los cambios no autorizados serán tratados como incidentes de seguridad y activarán el procedimiento de respuesta correspondiente.</w:t>
            </w:r>
          </w:p>
        </w:tc>
      </w:tr>
    </w:tbl>
    <w:p>
      <w:pPr>
        <w:spacing w:after="60" w:before="60"/>
      </w:pPr>
      <w:r>
        <w:t xml:space="preserve"/>
      </w:r>
    </w:p>
    <w:p>
      <w:pPr>
        <w:spacing w:after="60" w:before="60"/>
        <w:jc w:val="both"/>
      </w:pPr>
      <w:r>
        <w:rPr>
          <w:rFonts w:ascii="Georgia" w:cs="Georgia" w:eastAsia="Georgia" w:hAnsi="Georgia"/>
          <w:color w:val="595959"/>
          <w:sz w:val="20"/>
          <w:szCs w:val="20"/>
        </w:rPr>
        <w:t xml:space="preserve">Los cambios en el firewall se clasifican según su impacto potencial: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Tipo de Cambio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Ejemplos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Tiempo de Aprobación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Aprobador</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Estándar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Agregar regla de acceso para nuevo servicio interno documentado</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24 horas</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[Líder de TI]</w:t>
            </w:r>
          </w:p>
        </w:tc>
      </w:tr>
      <w:tr>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Significativo</w:t>
            </w:r>
          </w:p>
        </w:tc>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Modificar política por defecto, habilitar nuevo NAT, cambio de segmentación VLAN</w:t>
            </w:r>
          </w:p>
        </w:tc>
        <w:tc>
          <w:tcPr>
            <w:tcW w:type="dxa" w:w="2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48–72 horas</w:t>
            </w:r>
          </w:p>
        </w:tc>
        <w:tc>
          <w:tcPr>
            <w:tcW w:type="dxa" w:w="27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[Gerente TI + Seguridad]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Emergencia</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Bloqueo de IP maliciosa activa, respuesta a incidente en curso</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Inmediato + documentación posterior</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[CISO / Gerente TI]</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5.2 Revisión y Depuración de Reglas</w:t>
      </w:r>
    </w:p>
    <w:p>
      <w:pPr>
        <w:spacing w:after="60" w:before="60"/>
        <w:jc w:val="both"/>
      </w:pPr>
      <w:r>
        <w:rPr>
          <w:rFonts w:ascii="Georgia" w:cs="Georgia" w:eastAsia="Georgia" w:hAnsi="Georgia"/>
          <w:color w:val="595959"/>
          <w:sz w:val="20"/>
          <w:szCs w:val="20"/>
        </w:rPr>
        <w:t xml:space="preserve">Las reglas de firewall deben revisarse trimestralmente para identificar y eliminar:</w:t>
      </w:r>
    </w:p>
    <w:p>
      <w:pPr>
        <w:pStyle w:val="ListParagraph"/>
        <w:numPr>
          <w:ilvl w:val="0"/>
          <w:numId w:val="2"/>
        </w:numPr>
        <w:spacing w:after="40" w:before="40"/>
      </w:pPr>
      <w:r>
        <w:rPr>
          <w:rFonts w:ascii="Georgia" w:cs="Georgia" w:eastAsia="Georgia" w:hAnsi="Georgia"/>
          <w:color w:val="595959"/>
          <w:sz w:val="20"/>
          <w:szCs w:val="20"/>
        </w:rPr>
        <w:t xml:space="preserve">Reglas que autorizan tráfico hacia servicios dados de baja o migrados.</w:t>
      </w:r>
    </w:p>
    <w:p>
      <w:pPr>
        <w:pStyle w:val="ListParagraph"/>
        <w:numPr>
          <w:ilvl w:val="0"/>
          <w:numId w:val="2"/>
        </w:numPr>
        <w:spacing w:after="40" w:before="40"/>
      </w:pPr>
      <w:r>
        <w:rPr>
          <w:rFonts w:ascii="Georgia" w:cs="Georgia" w:eastAsia="Georgia" w:hAnsi="Georgia"/>
          <w:color w:val="595959"/>
          <w:sz w:val="20"/>
          <w:szCs w:val="20"/>
        </w:rPr>
        <w:t xml:space="preserve">Reglas duplicadas o en conflicto con otras reglas de la misma política.</w:t>
      </w:r>
    </w:p>
    <w:p>
      <w:pPr>
        <w:pStyle w:val="ListParagraph"/>
        <w:numPr>
          <w:ilvl w:val="0"/>
          <w:numId w:val="2"/>
        </w:numPr>
        <w:spacing w:after="40" w:before="40"/>
      </w:pPr>
      <w:r>
        <w:rPr>
          <w:rFonts w:ascii="Georgia" w:cs="Georgia" w:eastAsia="Georgia" w:hAnsi="Georgia"/>
          <w:color w:val="595959"/>
          <w:sz w:val="20"/>
          <w:szCs w:val="20"/>
        </w:rPr>
        <w:t xml:space="preserve">Reglas temporales creadas para respuesta a incidentes que no fueron eliminadas una vez resuelto el evento.</w:t>
      </w:r>
    </w:p>
    <w:p>
      <w:pPr>
        <w:pStyle w:val="ListParagraph"/>
        <w:numPr>
          <w:ilvl w:val="0"/>
          <w:numId w:val="2"/>
        </w:numPr>
        <w:spacing w:after="40" w:before="40"/>
      </w:pPr>
      <w:r>
        <w:rPr>
          <w:rFonts w:ascii="Georgia" w:cs="Georgia" w:eastAsia="Georgia" w:hAnsi="Georgia"/>
          <w:color w:val="595959"/>
          <w:sz w:val="20"/>
          <w:szCs w:val="20"/>
        </w:rPr>
        <w:t xml:space="preserve">Reglas sin uso registrado en los últimos [90] días, que deben documentarse o eliminarse.</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6. Monitoreo, Registros y Alertas</w:t>
      </w:r>
    </w:p>
    <w:p>
      <w:pPr>
        <w:pStyle w:val="Heading2"/>
        <w:spacing w:after="80" w:before="280"/>
      </w:pPr>
      <w:r>
        <w:rPr>
          <w:rFonts w:ascii="Calibri" w:cs="Calibri" w:eastAsia="Calibri" w:hAnsi="Calibri"/>
          <w:b/>
          <w:bCs/>
          <w:color w:val="185FA5"/>
          <w:sz w:val="26"/>
          <w:szCs w:val="26"/>
        </w:rPr>
        <w:t xml:space="preserve">6.1 Registros (Logs) del Firewall</w:t>
      </w:r>
    </w:p>
    <w:p>
      <w:pPr>
        <w:spacing w:after="60" w:before="60"/>
        <w:jc w:val="both"/>
      </w:pPr>
      <w:r>
        <w:rPr>
          <w:rFonts w:ascii="Georgia" w:cs="Georgia" w:eastAsia="Georgia" w:hAnsi="Georgia"/>
          <w:color w:val="595959"/>
          <w:sz w:val="20"/>
          <w:szCs w:val="20"/>
        </w:rPr>
        <w:t xml:space="preserve">Los firewalls deben generar y conservar registros que incluyan como mínimo:</w:t>
      </w:r>
    </w:p>
    <w:p>
      <w:pPr>
        <w:pStyle w:val="ListParagraph"/>
        <w:numPr>
          <w:ilvl w:val="0"/>
          <w:numId w:val="2"/>
        </w:numPr>
        <w:spacing w:after="40" w:before="40"/>
      </w:pPr>
      <w:r>
        <w:rPr>
          <w:rFonts w:ascii="Georgia" w:cs="Georgia" w:eastAsia="Georgia" w:hAnsi="Georgia"/>
          <w:color w:val="595959"/>
          <w:sz w:val="20"/>
          <w:szCs w:val="20"/>
        </w:rPr>
        <w:t xml:space="preserve">Fecha y hora de cada evento (timestamp con zona horaria UTC)</w:t>
      </w:r>
    </w:p>
    <w:p>
      <w:pPr>
        <w:pStyle w:val="ListParagraph"/>
        <w:numPr>
          <w:ilvl w:val="0"/>
          <w:numId w:val="2"/>
        </w:numPr>
        <w:spacing w:after="40" w:before="40"/>
      </w:pPr>
      <w:r>
        <w:rPr>
          <w:rFonts w:ascii="Georgia" w:cs="Georgia" w:eastAsia="Georgia" w:hAnsi="Georgia"/>
          <w:color w:val="595959"/>
          <w:sz w:val="20"/>
          <w:szCs w:val="20"/>
        </w:rPr>
        <w:t xml:space="preserve">Dirección IP de origen y destino, puerto de origen y destino</w:t>
      </w:r>
    </w:p>
    <w:p>
      <w:pPr>
        <w:pStyle w:val="ListParagraph"/>
        <w:numPr>
          <w:ilvl w:val="0"/>
          <w:numId w:val="2"/>
        </w:numPr>
        <w:spacing w:after="40" w:before="40"/>
      </w:pPr>
      <w:r>
        <w:rPr>
          <w:rFonts w:ascii="Georgia" w:cs="Georgia" w:eastAsia="Georgia" w:hAnsi="Georgia"/>
          <w:color w:val="595959"/>
          <w:sz w:val="20"/>
          <w:szCs w:val="20"/>
        </w:rPr>
        <w:t xml:space="preserve">Protocolo (TCP, UDP, ICMP, etc.) y acción aplicada (PERMIT / DENY)</w:t>
      </w:r>
    </w:p>
    <w:p>
      <w:pPr>
        <w:pStyle w:val="ListParagraph"/>
        <w:numPr>
          <w:ilvl w:val="0"/>
          <w:numId w:val="2"/>
        </w:numPr>
        <w:spacing w:after="40" w:before="40"/>
      </w:pPr>
      <w:r>
        <w:rPr>
          <w:rFonts w:ascii="Georgia" w:cs="Georgia" w:eastAsia="Georgia" w:hAnsi="Georgia"/>
          <w:color w:val="595959"/>
          <w:sz w:val="20"/>
          <w:szCs w:val="20"/>
        </w:rPr>
        <w:t xml:space="preserve">Nombre o identificador de la regla que tomó la decisión</w:t>
      </w:r>
    </w:p>
    <w:p>
      <w:pPr>
        <w:pStyle w:val="ListParagraph"/>
        <w:numPr>
          <w:ilvl w:val="0"/>
          <w:numId w:val="2"/>
        </w:numPr>
        <w:spacing w:after="40" w:before="40"/>
      </w:pPr>
      <w:r>
        <w:rPr>
          <w:rFonts w:ascii="Georgia" w:cs="Georgia" w:eastAsia="Georgia" w:hAnsi="Georgia"/>
          <w:color w:val="595959"/>
          <w:sz w:val="20"/>
          <w:szCs w:val="20"/>
        </w:rPr>
        <w:t xml:space="preserve">Volumen de bytes transferidos en sesiones permitidas (cuando esté disponible)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Parámetro de Log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Valor Requerido</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Observaciones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Retención de logs de firewall</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Mínimo [12] meses</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6 meses en almacenamiento activo + 6 en archivo externo</w:t>
            </w:r>
          </w:p>
        </w:tc>
      </w:tr>
      <w:tr>
        <w:tc>
          <w:tcPr>
            <w:tcW w:type="dxa" w:w="2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Envío a SIEM</w:t>
            </w:r>
          </w:p>
        </w:tc>
        <w:tc>
          <w:tcPr>
            <w:tcW w:type="dxa" w:w="2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Obligatorio (tiempo real)</w:t>
            </w:r>
          </w:p>
        </w:tc>
        <w:tc>
          <w:tcPr>
            <w:tcW w:type="dxa" w:w="4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Formato syslog o CEF; cifrado en tránsito</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Integridad de logs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Protegidos contra modificación</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Cuentas de solo lectura para el servicio de firewall en el SIEM</w:t>
            </w:r>
          </w:p>
        </w:tc>
      </w:tr>
      <w:tr>
        <w:tc>
          <w:tcPr>
            <w:tcW w:type="dxa" w:w="2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Revisión periódica</w:t>
            </w:r>
          </w:p>
        </w:tc>
        <w:tc>
          <w:tcPr>
            <w:tcW w:type="dxa" w:w="2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Semanal automatizada + mensual manual</w:t>
            </w:r>
          </w:p>
        </w:tc>
        <w:tc>
          <w:tcPr>
            <w:tcW w:type="dxa" w:w="4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[Oficial de Seguridad / Administrador de Firewall]</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6.2 Indicadores de Alerta Temprana (IoC de Red)</w:t>
      </w:r>
    </w:p>
    <w:p>
      <w:pPr>
        <w:spacing w:after="60" w:before="60"/>
        <w:jc w:val="both"/>
      </w:pPr>
      <w:r>
        <w:rPr>
          <w:rFonts w:ascii="Georgia" w:cs="Georgia" w:eastAsia="Georgia" w:hAnsi="Georgia"/>
          <w:color w:val="595959"/>
          <w:sz w:val="20"/>
          <w:szCs w:val="20"/>
        </w:rPr>
        <w:t xml:space="preserve">Se deben configurar alertas automáticas ante los siguientes eventos: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Evento a Detectar</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Descripción / Umbral</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Conexiones bloqueadas reiteradas desde misma IP</w:t>
            </w:r>
          </w:p>
        </w:tc>
        <w:tc>
          <w:tcPr>
            <w:tcW w:type="dxa" w:w="5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Más de [50] intentos bloqueados en 5 minutos desde un mismo origen</w:t>
            </w:r>
          </w:p>
        </w:tc>
      </w:tr>
      <w:tr>
        <w:tc>
          <w:tcPr>
            <w:tcW w:type="dxa" w:w="4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Tráfico en puertos no estándar hacia Internet</w:t>
            </w:r>
          </w:p>
        </w:tc>
        <w:tc>
          <w:tcPr>
            <w:tcW w:type="dxa" w:w="5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Cualquier conexión saliente en puertos no documentados en la política</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Escaneo de puertos (port scan)</w:t>
            </w:r>
          </w:p>
        </w:tc>
        <w:tc>
          <w:tcPr>
            <w:tcW w:type="dxa" w:w="5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Conexiones SYN sin establecimiento de sesión a múltiples puertos en secuencia</w:t>
            </w:r>
          </w:p>
        </w:tc>
      </w:tr>
      <w:tr>
        <w:tc>
          <w:tcPr>
            <w:tcW w:type="dxa" w:w="4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Tráfico entre VLANs no autorizado</w:t>
            </w:r>
          </w:p>
        </w:tc>
        <w:tc>
          <w:tcPr>
            <w:tcW w:type="dxa" w:w="5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Flujo de red entre segmentos no permitidos por la política de segmentación</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Cambios en reglas de firewall no programados</w:t>
            </w:r>
          </w:p>
        </w:tc>
        <w:tc>
          <w:tcPr>
            <w:tcW w:type="dxa" w:w="5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Modificación de ACL o política fuera del proceso formal de cambios</w:t>
            </w:r>
          </w:p>
        </w:tc>
      </w:tr>
      <w:tr>
        <w:tc>
          <w:tcPr>
            <w:tcW w:type="dxa" w:w="4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Volumen de tráfico inusual (posible exfiltración)</w:t>
            </w:r>
          </w:p>
        </w:tc>
        <w:tc>
          <w:tcPr>
            <w:tcW w:type="dxa" w:w="53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Transferencias salientes que excedan [x] GB/hora hacia destinos externos no habituales</w:t>
            </w:r>
          </w:p>
        </w:tc>
      </w:tr>
    </w:tbl>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7. Respuesta a Incidentes de Firewall</w:t>
      </w:r>
    </w:p>
    <w:p>
      <w:pPr>
        <w:pStyle w:val="Heading2"/>
        <w:spacing w:after="80" w:before="280"/>
      </w:pPr>
      <w:r>
        <w:rPr>
          <w:rFonts w:ascii="Calibri" w:cs="Calibri" w:eastAsia="Calibri" w:hAnsi="Calibri"/>
          <w:b/>
          <w:bCs/>
          <w:color w:val="185FA5"/>
          <w:sz w:val="26"/>
          <w:szCs w:val="26"/>
        </w:rPr>
        <w:t xml:space="preserve">7.1 Clasificación de Incidentes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rPr>
          <w:tblHeader/>
        </w:trP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Severidad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Tipo de Incidente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Tiempo de Respuesta</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Escalamiento</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CRÍTICA</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Brecha activa en el perímetro, tráfico malicioso confirmado, compromiso de reglas de firewall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&lt; 15 minutos</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CISO + Gerencia + Proveedor ISP/Firewall</w:t>
            </w:r>
          </w:p>
        </w:tc>
      </w:tr>
      <w:tr>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ALTA</w:t>
            </w:r>
          </w:p>
        </w:tc>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Cambio no autorizado en reglas, apertura de puertos no aprobada, acceso remoto no autorizado detectado</w:t>
            </w:r>
          </w:p>
        </w:tc>
        <w:tc>
          <w:tcPr>
            <w:tcW w:type="dxa" w:w="2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&lt; 1 hora</w:t>
            </w:r>
          </w:p>
        </w:tc>
        <w:tc>
          <w:tcPr>
            <w:tcW w:type="dxa" w:w="3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Oficial de Seguridad + Administrador de Firewall</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MEDIA</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Escaneo de puertos sostenido, tráfico bloqueado reiterado desde mismo origen, regla obsoleta activa</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&lt; 4 horas</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Administrador de Firewall</w:t>
            </w:r>
          </w:p>
        </w:tc>
      </w:tr>
      <w:tr>
        <w:tc>
          <w:tcPr>
            <w:tcW w:type="dxa" w:w="14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BAJA</w:t>
            </w:r>
          </w:p>
        </w:tc>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Regla sin uso documentada, configuración desactualizada, log sin revisión en período definido</w:t>
            </w:r>
          </w:p>
        </w:tc>
        <w:tc>
          <w:tcPr>
            <w:tcW w:type="dxa" w:w="2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&lt; 24 horas</w:t>
            </w:r>
          </w:p>
        </w:tc>
        <w:tc>
          <w:tcPr>
            <w:tcW w:type="dxa" w:w="3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Administrador de Firewall</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7.2 Procedimiento ante Brecha de Perímetro Confirmada</w:t>
      </w:r>
    </w:p>
    <w:p>
      <w:pPr>
        <w:spacing w:after="60" w:before="60"/>
        <w:jc w:val="both"/>
      </w:pPr>
      <w:r>
        <w:rPr>
          <w:rFonts w:ascii="Georgia" w:cs="Georgia" w:eastAsia="Georgia" w:hAnsi="Georgia"/>
          <w:color w:val="595959"/>
          <w:sz w:val="20"/>
          <w:szCs w:val="20"/>
        </w:rPr>
        <w:t xml:space="preserve">Ante la detección de tráfico malicioso activo que ha superado los controles del firewall, el equipo de TI debe ejecutar los siguientes pasos en el orden indicado:</w:t>
      </w:r>
    </w:p>
    <w:p>
      <w:pPr>
        <w:pStyle w:val="ListParagraph"/>
        <w:numPr>
          <w:ilvl w:val="0"/>
          <w:numId w:val="2"/>
        </w:numPr>
        <w:spacing w:after="40" w:before="40"/>
      </w:pPr>
      <w:r>
        <w:rPr>
          <w:rFonts w:ascii="Georgia" w:cs="Georgia" w:eastAsia="Georgia" w:hAnsi="Georgia"/>
          <w:color w:val="595959"/>
          <w:sz w:val="20"/>
          <w:szCs w:val="20"/>
        </w:rPr>
        <w:t xml:space="preserve">1. Contención: Bloquear la IP o rango de origen malicioso en el firewall perimetral mediante regla de emergencia. Aislar el segmento de red afectado si el compromiso fue interno.</w:t>
      </w:r>
    </w:p>
    <w:p>
      <w:pPr>
        <w:pStyle w:val="ListParagraph"/>
        <w:numPr>
          <w:ilvl w:val="0"/>
          <w:numId w:val="2"/>
        </w:numPr>
        <w:spacing w:after="40" w:before="40"/>
      </w:pPr>
      <w:r>
        <w:rPr>
          <w:rFonts w:ascii="Georgia" w:cs="Georgia" w:eastAsia="Georgia" w:hAnsi="Georgia"/>
          <w:color w:val="595959"/>
          <w:sz w:val="20"/>
          <w:szCs w:val="20"/>
        </w:rPr>
        <w:t xml:space="preserve">2. Evidencia: Exportar los logs del firewall correspondientes al período del incidente antes de realizar cualquier cambio de configuración adicional.</w:t>
      </w:r>
    </w:p>
    <w:p>
      <w:pPr>
        <w:pStyle w:val="ListParagraph"/>
        <w:numPr>
          <w:ilvl w:val="0"/>
          <w:numId w:val="2"/>
        </w:numPr>
        <w:spacing w:after="40" w:before="40"/>
      </w:pPr>
      <w:r>
        <w:rPr>
          <w:rFonts w:ascii="Georgia" w:cs="Georgia" w:eastAsia="Georgia" w:hAnsi="Georgia"/>
          <w:color w:val="595959"/>
          <w:sz w:val="20"/>
          <w:szCs w:val="20"/>
        </w:rPr>
        <w:t xml:space="preserve">3. Notificación: Escalar al Oficial de Seguridad y a la Gerencia según la tabla de severidad. Notificar al ISP si se requiere bloqueo upstream.</w:t>
      </w:r>
    </w:p>
    <w:p>
      <w:pPr>
        <w:pStyle w:val="ListParagraph"/>
        <w:numPr>
          <w:ilvl w:val="0"/>
          <w:numId w:val="2"/>
        </w:numPr>
        <w:spacing w:after="40" w:before="40"/>
      </w:pPr>
      <w:r>
        <w:rPr>
          <w:rFonts w:ascii="Georgia" w:cs="Georgia" w:eastAsia="Georgia" w:hAnsi="Georgia"/>
          <w:color w:val="595959"/>
          <w:sz w:val="20"/>
          <w:szCs w:val="20"/>
        </w:rPr>
        <w:t xml:space="preserve">4. Análisis: Determinar el vector de entrada, las reglas vulneradas o mal configuradas y el alcance del tráfico no autorizado.</w:t>
      </w:r>
    </w:p>
    <w:p>
      <w:pPr>
        <w:pStyle w:val="ListParagraph"/>
        <w:numPr>
          <w:ilvl w:val="0"/>
          <w:numId w:val="2"/>
        </w:numPr>
        <w:spacing w:after="40" w:before="40"/>
      </w:pPr>
      <w:r>
        <w:rPr>
          <w:rFonts w:ascii="Georgia" w:cs="Georgia" w:eastAsia="Georgia" w:hAnsi="Georgia"/>
          <w:color w:val="595959"/>
          <w:sz w:val="20"/>
          <w:szCs w:val="20"/>
        </w:rPr>
        <w:t xml:space="preserve">5. Restauración: Revertir la configuración a la última versión aprobada del ruleset. Verificar que los controles de contención sean correctos antes de restablecer el tráfico.</w:t>
      </w:r>
    </w:p>
    <w:p>
      <w:pPr>
        <w:pStyle w:val="ListParagraph"/>
        <w:numPr>
          <w:ilvl w:val="0"/>
          <w:numId w:val="2"/>
        </w:numPr>
        <w:spacing w:after="40" w:before="40"/>
      </w:pPr>
      <w:r>
        <w:rPr>
          <w:rFonts w:ascii="Georgia" w:cs="Georgia" w:eastAsia="Georgia" w:hAnsi="Georgia"/>
          <w:color w:val="595959"/>
          <w:sz w:val="20"/>
          <w:szCs w:val="20"/>
        </w:rPr>
        <w:t xml:space="preserve">6. Lecciones aprendidas: Documentar el incidente en la base de conocimientos, actualizar esta política si aplica, y revisar la configuración del SIEM para mejorar la detección de eventos similares.</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8. Auditoría y Verificación de Cumplimiento</w:t>
      </w:r>
    </w:p>
    <w:p>
      <w:pPr>
        <w:pStyle w:val="Heading2"/>
        <w:spacing w:after="80" w:before="280"/>
      </w:pPr>
      <w:r>
        <w:rPr>
          <w:rFonts w:ascii="Calibri" w:cs="Calibri" w:eastAsia="Calibri" w:hAnsi="Calibri"/>
          <w:b/>
          <w:bCs/>
          <w:color w:val="185FA5"/>
          <w:sz w:val="26"/>
          <w:szCs w:val="26"/>
        </w:rPr>
        <w:t xml:space="preserve">8.1 Controles de Verificación Periódica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Control a Verificar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Frecuencia</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Responsable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Herramienta / Método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Revisión de reglas activas (eliminación de reglas obsoletas)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Trimestral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Seguridad / TI</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Revisión manual del ruleset + exportación de logs de uso</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Prueba de penetración de perímetro</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Semestral</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Seguridad (puede ser proveedor externo)</w:t>
            </w:r>
          </w:p>
        </w:tc>
        <w:tc>
          <w:tcPr>
            <w:tcW w:type="dxa" w:w="3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Nmap, Nessus, OpenVAS desde segmento externo controlado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Verificación de políticas de acceso VPN</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Mensual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Administrador de Firewall</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Revisión de cuentas activas + logs de autenticación</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Revisión de logs de firewall por anomalías</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Semanal</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Oficial de Seguridad</w:t>
            </w:r>
          </w:p>
        </w:tc>
        <w:tc>
          <w:tcPr>
            <w:tcW w:type="dxa" w:w="3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SIEM corporativo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Validación de configuración contra baseline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Semestral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Seguridad</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Comparación contra snapshot de configuración aprobada</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Revisión completa de la política de firewall</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Anual</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CISO / Propietario Política</w:t>
            </w:r>
          </w:p>
        </w:tc>
        <w:tc>
          <w:tcPr>
            <w:tcW w:type="dxa" w:w="31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Revisión documental + pruebas técnicas</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8.2 Registro de Auditorías</w:t>
      </w:r>
    </w:p>
    <w:p>
      <w:pPr>
        <w:spacing w:after="60" w:before="60"/>
        <w:jc w:val="both"/>
      </w:pPr>
      <w:r>
        <w:rPr>
          <w:rFonts w:ascii="Georgia" w:cs="Georgia" w:eastAsia="Georgia" w:hAnsi="Georgia"/>
          <w:color w:val="595959"/>
          <w:sz w:val="20"/>
          <w:szCs w:val="20"/>
        </w:rPr>
        <w:t xml:space="preserve">Los resultados de cada auditoría deben documentarse en el [nombre del sistema / registro de auditoría de TI] y conservarse durante [3] años. Los hallazgos que representen incumplimiento de esta política deben tratarse como no conformidades y gestionarse mediante el proceso de acción correctiva del equipo de TI.</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9. Recomendaciones de Despliegue por Tamaño de Empresa</w:t>
      </w:r>
    </w:p>
    <w:p>
      <w:pPr>
        <w:spacing w:after="60" w:before="60"/>
        <w:jc w:val="both"/>
      </w:pPr>
      <w:r>
        <w:rPr>
          <w:rFonts w:ascii="Georgia" w:cs="Georgia" w:eastAsia="Georgia" w:hAnsi="Georgia"/>
          <w:color w:val="595959"/>
          <w:sz w:val="20"/>
          <w:szCs w:val="20"/>
        </w:rPr>
        <w:t xml:space="preserve">No todos los controles definidos en esta política son igualmente necesarios para todos los tamaños de organización. La siguiente tabla ofrece una orientación sobre qué componentes activar según el contexto de la empresa: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800"/>
        <w:gridCol w:w="1800"/>
        <w:gridCol w:w="2000"/>
      </w:tblGrid>
      <w:tr>
        <w:trPr>
          <w:tblHeader/>
        </w:trPr>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Componente / Configuración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Micro (&lt; 10 equipos)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Pequeña (10-50 equipos)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Mediana (50-200 equipos)</w:t>
            </w:r>
          </w:p>
        </w:tc>
      </w:tr>
      <w:tr>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Firewall perimetral hardware o virtual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Recomendado</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Obligatorio</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Obligatorio (HA)</w:t>
            </w:r>
          </w:p>
        </w:tc>
      </w:tr>
      <w:tr>
        <w:tc>
          <w:tcPr>
            <w:tcW w:type="dxa" w:w="37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Segmentación en VLANs</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Opcional</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Recomendado</w:t>
            </w:r>
          </w:p>
        </w:tc>
        <w:tc>
          <w:tcPr>
            <w:tcW w:type="dxa" w:w="2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Obligatorio</w:t>
            </w:r>
          </w:p>
        </w:tc>
      </w:tr>
      <w:tr>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Inspección profunda de paquetes (DPI)</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Opcional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Recomendado</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Obligatorio</w:t>
            </w:r>
          </w:p>
        </w:tc>
      </w:tr>
      <w:tr>
        <w:tc>
          <w:tcPr>
            <w:tcW w:type="dxa" w:w="37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VPN para acceso remoto</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Recomendado</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Obligatorio</w:t>
            </w:r>
          </w:p>
        </w:tc>
        <w:tc>
          <w:tcPr>
            <w:tcW w:type="dxa" w:w="2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Obligatorio</w:t>
            </w:r>
          </w:p>
        </w:tc>
      </w:tr>
      <w:tr>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WAF (Web Application Firewall)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Opcional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Recomendado si tiene web pública</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Obligatorio si tiene web pública</w:t>
            </w:r>
          </w:p>
        </w:tc>
      </w:tr>
      <w:tr>
        <w:tc>
          <w:tcPr>
            <w:tcW w:type="dxa" w:w="37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Envío de logs al SIEM</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Recomendado</w:t>
            </w:r>
          </w:p>
        </w:tc>
        <w:tc>
          <w:tcPr>
            <w:tcW w:type="dxa" w:w="1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Recomendado</w:t>
            </w:r>
          </w:p>
        </w:tc>
        <w:tc>
          <w:tcPr>
            <w:tcW w:type="dxa" w:w="20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Obligatorio</w:t>
            </w:r>
          </w:p>
        </w:tc>
      </w:tr>
    </w:tbl>
    <w:p>
      <w:pPr>
        <w:spacing w:after="60" w:before="60"/>
      </w:pPr>
      <w:r>
        <w:t xml:space="preserve"/>
      </w:r>
    </w:p>
    <w:p>
      <w:pPr>
        <w:pBdr>
          <w:left w:val="single" w:color="BA7517" w:sz="20" w:space="12"/>
        </w:pBdr>
        <w:shd w:fill="FFF8EC" w:val="clear"/>
        <w:spacing w:after="160" w:before="160"/>
        <w:ind w:left="720"/>
      </w:pPr>
      <w:r>
        <w:rPr>
          <w:rFonts w:ascii="Georgia" w:cs="Georgia" w:eastAsia="Georgia" w:hAnsi="Georgia"/>
          <w:i/>
          <w:iCs/>
          <w:color w:val="5C3D00"/>
          <w:sz w:val="19"/>
          <w:szCs w:val="19"/>
        </w:rPr>
        <w:t xml:space="preserve">NOTA: Un servidor usado de gama media con pfSense o OPNsense instalado puede ofrecer las funciones de firewall perimetral, segmentación VLAN y VPN para una empresa pequeña a un costo muy bajo. La clave no está en el presupuesto sino en la correcta configuración y el mantenimiento activo de las reglas.</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10. Excepciones, Sanciones y Vigencia</w:t>
      </w:r>
    </w:p>
    <w:p>
      <w:pPr>
        <w:pStyle w:val="Heading2"/>
        <w:spacing w:after="80" w:before="280"/>
      </w:pPr>
      <w:r>
        <w:rPr>
          <w:rFonts w:ascii="Calibri" w:cs="Calibri" w:eastAsia="Calibri" w:hAnsi="Calibri"/>
          <w:b/>
          <w:bCs/>
          <w:color w:val="185FA5"/>
          <w:sz w:val="26"/>
          <w:szCs w:val="26"/>
        </w:rPr>
        <w:t xml:space="preserve">10.1 Gestión de Excepciones</w:t>
      </w:r>
    </w:p>
    <w:p>
      <w:pPr>
        <w:spacing w:after="60" w:before="60"/>
        <w:jc w:val="both"/>
      </w:pPr>
      <w:r>
        <w:rPr>
          <w:rFonts w:ascii="Georgia" w:cs="Georgia" w:eastAsia="Georgia" w:hAnsi="Georgia"/>
          <w:color w:val="595959"/>
          <w:sz w:val="20"/>
          <w:szCs w:val="20"/>
        </w:rPr>
        <w:t xml:space="preserve">Cualquier excepción temporal a los controles definidos en esta política debe:</w:t>
      </w:r>
    </w:p>
    <w:p>
      <w:pPr>
        <w:pStyle w:val="ListParagraph"/>
        <w:numPr>
          <w:ilvl w:val="0"/>
          <w:numId w:val="2"/>
        </w:numPr>
        <w:spacing w:after="40" w:before="40"/>
      </w:pPr>
      <w:r>
        <w:rPr>
          <w:rFonts w:ascii="Georgia" w:cs="Georgia" w:eastAsia="Georgia" w:hAnsi="Georgia"/>
          <w:color w:val="595959"/>
          <w:sz w:val="20"/>
          <w:szCs w:val="20"/>
        </w:rPr>
        <w:t xml:space="preserve">Ser solicitada por escrito por el responsable del área al [Oficial de Seguridad / CISO]</w:t>
      </w:r>
    </w:p>
    <w:p>
      <w:pPr>
        <w:pStyle w:val="ListParagraph"/>
        <w:numPr>
          <w:ilvl w:val="0"/>
          <w:numId w:val="2"/>
        </w:numPr>
        <w:spacing w:after="40" w:before="40"/>
      </w:pPr>
      <w:r>
        <w:rPr>
          <w:rFonts w:ascii="Georgia" w:cs="Georgia" w:eastAsia="Georgia" w:hAnsi="Georgia"/>
          <w:color w:val="595959"/>
          <w:sz w:val="20"/>
          <w:szCs w:val="20"/>
        </w:rPr>
        <w:t xml:space="preserve">Incluir justificación técnica o de negocio, riesgos identificados y controles compensatorios propuestos</w:t>
      </w:r>
    </w:p>
    <w:p>
      <w:pPr>
        <w:pStyle w:val="ListParagraph"/>
        <w:numPr>
          <w:ilvl w:val="0"/>
          <w:numId w:val="2"/>
        </w:numPr>
        <w:spacing w:after="40" w:before="40"/>
      </w:pPr>
      <w:r>
        <w:rPr>
          <w:rFonts w:ascii="Georgia" w:cs="Georgia" w:eastAsia="Georgia" w:hAnsi="Georgia"/>
          <w:color w:val="595959"/>
          <w:sz w:val="20"/>
          <w:szCs w:val="20"/>
        </w:rPr>
        <w:t xml:space="preserve">Tener un plazo máximo de duración de [90] días, renovable con nueva aprobación</w:t>
      </w:r>
    </w:p>
    <w:p>
      <w:pPr>
        <w:pStyle w:val="ListParagraph"/>
        <w:numPr>
          <w:ilvl w:val="0"/>
          <w:numId w:val="2"/>
        </w:numPr>
        <w:spacing w:after="40" w:before="40"/>
      </w:pPr>
      <w:r>
        <w:rPr>
          <w:rFonts w:ascii="Georgia" w:cs="Georgia" w:eastAsia="Georgia" w:hAnsi="Georgia"/>
          <w:color w:val="595959"/>
          <w:sz w:val="20"/>
          <w:szCs w:val="20"/>
        </w:rPr>
        <w:t xml:space="preserve">Quedar registrada en el log de excepciones de seguridad</w:t>
      </w:r>
    </w:p>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10.2 Incumplimientos y Sanciones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2"/>
              <w:left w:val="single" w:color="185FA5" w:sz="24"/>
              <w:bottom w:val="single" w:color="185FA5" w:sz="12"/>
              <w:right w:val="single" w:color="185FA5" w:sz="12"/>
            </w:tcBorders>
            <w:shd w:fill="EBF3FB" w:val="clear"/>
            <w:tcMar>
              <w:top w:type="dxa" w:w="120"/>
              <w:left w:type="dxa" w:w="160"/>
              <w:bottom w:type="dxa" w:w="120"/>
              <w:right w:type="dxa" w:w="160"/>
            </w:tcMar>
          </w:tcPr>
          <w:p>
            <w:r>
              <w:rPr>
                <w:rFonts w:ascii="Georgia" w:cs="Georgia" w:eastAsia="Georgia" w:hAnsi="Georgia"/>
                <w:b/>
                <w:bCs/>
                <w:color w:val="1F3864"/>
                <w:sz w:val="19"/>
                <w:szCs w:val="19"/>
              </w:rPr>
              <w:t xml:space="preserve">El incumplimiento de esta política puede resultar en brechas de seguridad, acceso no autorizado a sistemas internos, pérdida de datos e interrupciones operativas. Los incumplimientos serán tratados conforme al reglamento interno de la organización y pueden derivar en medidas disciplinarias.</w:t>
            </w:r>
          </w:p>
        </w:tc>
      </w:tr>
    </w:tbl>
    <w:p>
      <w:pPr>
        <w:spacing w:after="60" w:before="60"/>
      </w:pPr>
      <w:r>
        <w:t xml:space="preserve"/>
      </w:r>
    </w:p>
    <w:p>
      <w:pPr>
        <w:pStyle w:val="Heading2"/>
        <w:spacing w:after="80" w:before="280"/>
      </w:pPr>
      <w:r>
        <w:rPr>
          <w:rFonts w:ascii="Calibri" w:cs="Calibri" w:eastAsia="Calibri" w:hAnsi="Calibri"/>
          <w:b/>
          <w:bCs/>
          <w:color w:val="185FA5"/>
          <w:sz w:val="26"/>
          <w:szCs w:val="26"/>
        </w:rPr>
        <w:t xml:space="preserve">10.3 Vigencia y Revisión</w:t>
      </w:r>
    </w:p>
    <w:p>
      <w:pPr>
        <w:spacing w:after="60" w:before="60"/>
        <w:jc w:val="both"/>
      </w:pPr>
      <w:r>
        <w:rPr>
          <w:rFonts w:ascii="Georgia" w:cs="Georgia" w:eastAsia="Georgia" w:hAnsi="Georgia"/>
          <w:color w:val="595959"/>
          <w:sz w:val="20"/>
          <w:szCs w:val="20"/>
        </w:rPr>
        <w:t xml:space="preserve">Esta política entra en vigor a partir de su fecha de aprobación y tiene vigencia de [1] año. Debe ser revisada anualmente o ante cualquiera de los siguientes eventos:</w:t>
      </w:r>
    </w:p>
    <w:p>
      <w:pPr>
        <w:pStyle w:val="ListParagraph"/>
        <w:numPr>
          <w:ilvl w:val="0"/>
          <w:numId w:val="2"/>
        </w:numPr>
        <w:spacing w:after="40" w:before="40"/>
      </w:pPr>
      <w:r>
        <w:rPr>
          <w:rFonts w:ascii="Georgia" w:cs="Georgia" w:eastAsia="Georgia" w:hAnsi="Georgia"/>
          <w:color w:val="595959"/>
          <w:sz w:val="20"/>
          <w:szCs w:val="20"/>
        </w:rPr>
        <w:t xml:space="preserve">Cambio significativo en la arquitectura de red o incorporación de nuevos segmentos o firewalls</w:t>
      </w:r>
    </w:p>
    <w:p>
      <w:pPr>
        <w:pStyle w:val="ListParagraph"/>
        <w:numPr>
          <w:ilvl w:val="0"/>
          <w:numId w:val="2"/>
        </w:numPr>
        <w:spacing w:after="40" w:before="40"/>
      </w:pPr>
      <w:r>
        <w:rPr>
          <w:rFonts w:ascii="Georgia" w:cs="Georgia" w:eastAsia="Georgia" w:hAnsi="Georgia"/>
          <w:color w:val="595959"/>
          <w:sz w:val="20"/>
          <w:szCs w:val="20"/>
        </w:rPr>
        <w:t xml:space="preserve">Detección de un incidente de seguridad relacionado con el perímetro de red</w:t>
      </w:r>
    </w:p>
    <w:p>
      <w:pPr>
        <w:pStyle w:val="ListParagraph"/>
        <w:numPr>
          <w:ilvl w:val="0"/>
          <w:numId w:val="2"/>
        </w:numPr>
        <w:spacing w:after="40" w:before="40"/>
      </w:pPr>
      <w:r>
        <w:rPr>
          <w:rFonts w:ascii="Georgia" w:cs="Georgia" w:eastAsia="Georgia" w:hAnsi="Georgia"/>
          <w:color w:val="595959"/>
          <w:sz w:val="20"/>
          <w:szCs w:val="20"/>
        </w:rPr>
        <w:t xml:space="preserve">Incorporación de nuevos servicios publicados hacia Internet o cambio de proveedor de conectividad</w:t>
      </w:r>
    </w:p>
    <w:p>
      <w:pPr>
        <w:pStyle w:val="ListParagraph"/>
        <w:numPr>
          <w:ilvl w:val="0"/>
          <w:numId w:val="2"/>
        </w:numPr>
        <w:spacing w:after="40" w:before="40"/>
      </w:pPr>
      <w:r>
        <w:rPr>
          <w:rFonts w:ascii="Georgia" w:cs="Georgia" w:eastAsia="Georgia" w:hAnsi="Georgia"/>
          <w:color w:val="595959"/>
          <w:sz w:val="20"/>
          <w:szCs w:val="20"/>
        </w:rPr>
        <w:t xml:space="preserve">Publicación de nuevas vulnerabilidades críticas en el software del firewall en producción</w:t>
      </w:r>
    </w:p>
    <w:p>
      <w:pPr>
        <w:spacing w:after="60" w:before="60"/>
      </w:pPr>
      <w:r>
        <w:t xml:space="preserve"/>
      </w:r>
    </w:p>
    <w:p>
      <w:pPr>
        <w:pStyle w:val="Heading1"/>
        <w:spacing w:after="120" w:before="360"/>
      </w:pPr>
      <w:r>
        <w:rPr>
          <w:rFonts w:ascii="Calibri" w:cs="Calibri" w:eastAsia="Calibri" w:hAnsi="Calibri"/>
          <w:b/>
          <w:bCs/>
          <w:color w:val="1F3864"/>
          <w:sz w:val="32"/>
          <w:szCs w:val="32"/>
        </w:rPr>
        <w:t xml:space="preserve">Anexo A —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Término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1F3864"/>
                <w:sz w:val="18"/>
                <w:szCs w:val="18"/>
              </w:rPr>
              <w:t xml:space="preserve">Definición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Firewall</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Dispositivo o software que controla el tráfico de red entre segmentos, aplicando reglas de autorización o denegación basadas en origen, destino, puerto y protocolo</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Política de denegación por defecto</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Principio de diseño en el que todo el tráfico no explícitamente autorizado es bloqueado; opuesto a la política de permisión por defecto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ACL (Access Control List)</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Lista de reglas que define qué tráfico está permitido o denegado en un dispositivo de red o firewall</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DMZ (Zona Desmilitarizada)</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Segmento de red intermedio que aloja servicios accesibles desde Internet, aislado de la red interna por el firewall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NAT (Network Address Translation)</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Técnica que traduce direcciones IP privadas internas en una dirección pública al salir a Internet, ocultando la topología interna</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DPI (Deep Packet Inspection)</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Análisis del contenido completo de los paquetes de red, más allá de los encabezados, para detectar amenazas o aplicaciones no autorizadas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Stateful Inspection</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Técnica de firewall que rastrea el estado de las conexiones activas y solo permite paquetes que pertenecen a sesiones legítimas establecidas</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uRPF (Unicast Reverse Path Forwarding)</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Mecanismo anti-spoofing que verifica que el paquete entrante tenga una ruta de retorno válida por la misma interfaz de llegada</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VPN (Virtual Private Network)</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Túnel cifrado que extiende la red interna de forma segura a usuarios remotos o sedes remotas a través de Internet</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WAF (Web Application Firewall)</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Firewall especializado en tráfico HTTP/HTTPS que analiza las solicitudes web para bloquear ataques como SQL injection, XSS o CSRF</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Regla obsoleta</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Regla de firewall que autoriza tráfico hacia un servicio que ya no existe, fue migrado o fue dado de baja, constituyendo una brecha de seguridad latente</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VLAN (Virtual LAN)</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Segmento lógico de red que agrupa dispositivos independientemente de su ubicación física, permitiendo segmentación y control de acceso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Port scanning</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Georgia" w:cs="Georgia" w:eastAsia="Georgia" w:hAnsi="Georgia"/>
                <w:color w:val="595959"/>
                <w:sz w:val="18"/>
                <w:szCs w:val="18"/>
              </w:rPr>
              <w:t xml:space="preserve">Técnica de reconocimiento que envía sondas a múltiples puertos para identificar servicios activos en un host objetivo</w:t>
            </w:r>
          </w:p>
        </w:tc>
      </w:tr>
      <w:tr>
        <w:tc>
          <w:tcPr>
            <w:tcW w:type="dxa" w:w="28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Geo-blocking</w:t>
            </w:r>
          </w:p>
        </w:tc>
        <w:tc>
          <w:tcPr>
            <w:tcW w:type="dxa" w:w="656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r>
              <w:rPr>
                <w:rFonts w:ascii="Georgia" w:cs="Georgia" w:eastAsia="Georgia" w:hAnsi="Georgia"/>
                <w:color w:val="595959"/>
                <w:sz w:val="18"/>
                <w:szCs w:val="18"/>
              </w:rPr>
              <w:t xml:space="preserve">Técnica de filtrado de tráfico basada en la geolocalización de la dirección IP de origen, para restringir acceso desde países específicos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185FA5"/>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2026-05-04T14:24:04.633Z</dcterms:created>
  <dcterms:modified xsi:type="dcterms:W3CDTF">2026-05-04T14:24:04.634Z</dcterms:modified>
</cp:coreProperties>
</file>

<file path=docProps/custom.xml><?xml version="1.0" encoding="utf-8"?>
<Properties xmlns="http://schemas.openxmlformats.org/officeDocument/2006/custom-properties" xmlns:vt="http://schemas.openxmlformats.org/officeDocument/2006/docPropsVTypes"/>
</file>