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00" w:before="0"/>
        <w:jc w:val="center"/>
      </w:pPr>
      <w:r>
        <w:rPr>
          <w:rFonts w:ascii="Arial" w:cs="Arial" w:eastAsia="Arial" w:hAnsi="Arial"/>
          <w:b/>
          <w:bCs/>
          <w:color w:val="1B3A6B"/>
          <w:sz w:val="52"/>
          <w:szCs w:val="52"/>
        </w:rPr>
        <w:t xml:space="preserve">POLÍTICA DE GESTIÓN DEL</w:t>
      </w:r>
    </w:p>
    <w:p>
      <w:pPr>
        <w:spacing w:after="400" w:before="0"/>
        <w:jc w:val="center"/>
      </w:pPr>
      <w:r>
        <w:rPr>
          <w:rFonts w:ascii="Arial" w:cs="Arial" w:eastAsia="Arial" w:hAnsi="Arial"/>
          <w:b/>
          <w:bCs/>
          <w:color w:val="2E5FA3"/>
          <w:sz w:val="52"/>
          <w:szCs w:val="52"/>
        </w:rPr>
        <w:t xml:space="preserve">SISTEMA DE NOMBRES DE DOMINIO (DNS)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FA3" w:val="clear"/>
            <w:tcMar>
              <w:top w:type="dxa" w:w="6"/>
              <w:left w:type="dxa" w:w="0"/>
              <w:bottom w:type="dxa" w:w="6"/>
              <w:right w:type="dxa" w:w="0"/>
            </w:tcMar>
          </w:tcPr>
          <w:p>
            <w:r>
              <w:t xml:space="preserve"/>
            </w:r>
          </w:p>
        </w:tc>
      </w:tr>
    </w:tbl>
    <w:p>
      <w:pPr>
        <w:spacing w:after="80" w:before="80"/>
      </w:pPr>
      <w:r>
        <w:t xml:space="preserve"/>
      </w:r>
    </w:p>
    <w:p>
      <w:pPr>
        <w:spacing w:after="100" w:before="200"/>
        <w:jc w:val="center"/>
      </w:pPr>
      <w:r>
        <w:rPr>
          <w:rFonts w:ascii="Arial" w:cs="Arial" w:eastAsia="Arial" w:hAnsi="Arial"/>
          <w:b/>
          <w:bCs/>
          <w:color w:val="1B3A6B"/>
          <w:sz w:val="32"/>
          <w:szCs w:val="32"/>
        </w:rPr>
        <w:t xml:space="preserve">[NOMBRE DE LA EMPRESA]</w:t>
      </w:r>
    </w:p>
    <w:p>
      <w:pPr>
        <w:spacing w:after="800" w:before="0"/>
        <w:jc w:val="center"/>
      </w:pPr>
      <w:r>
        <w:rPr>
          <w:rFonts w:ascii="Arial" w:cs="Arial" w:eastAsia="Arial" w:hAnsi="Arial"/>
          <w:color w:val="555555"/>
          <w:sz w:val="24"/>
          <w:szCs w:val="24"/>
        </w:rPr>
        <w:t xml:space="preserve">Área de Seguridad de la Información / TI</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r>
              <w:rPr>
                <w:rFonts w:ascii="Arial" w:cs="Arial" w:eastAsia="Arial" w:hAnsi="Arial"/>
                <w:b/>
                <w:bCs/>
                <w:color w:val="1B3A6B"/>
                <w:sz w:val="20"/>
                <w:szCs w:val="20"/>
              </w:rPr>
              <w:t xml:space="preserve">Versión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1.0</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r>
              <w:rPr>
                <w:rFonts w:ascii="Arial" w:cs="Arial" w:eastAsia="Arial" w:hAnsi="Arial"/>
                <w:b/>
                <w:bCs/>
                <w:color w:val="1B3A6B"/>
                <w:sz w:val="20"/>
                <w:szCs w:val="20"/>
              </w:rPr>
              <w:t xml:space="preserve">Fecha de emisión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[DD/MM/AAAA]</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r>
              <w:rPr>
                <w:rFonts w:ascii="Arial" w:cs="Arial" w:eastAsia="Arial" w:hAnsi="Arial"/>
                <w:b/>
                <w:bCs/>
                <w:color w:val="1B3A6B"/>
                <w:sz w:val="20"/>
                <w:szCs w:val="20"/>
              </w:rPr>
              <w:t xml:space="preserve">Próxima revisión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[DD/MM/AAAA]</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r>
              <w:rPr>
                <w:rFonts w:ascii="Arial" w:cs="Arial" w:eastAsia="Arial" w:hAnsi="Arial"/>
                <w:b/>
                <w:bCs/>
                <w:color w:val="1B3A6B"/>
                <w:sz w:val="20"/>
                <w:szCs w:val="20"/>
              </w:rPr>
              <w:t xml:space="preserve">Clasificación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bCs/>
                <w:color w:val="C0392B"/>
                <w:sz w:val="20"/>
                <w:szCs w:val="20"/>
              </w:rPr>
              <w:t xml:space="preserve">USO INTERNO</w:t>
            </w:r>
          </w:p>
        </w:tc>
      </w:tr>
    </w:tbl>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Control de Versiones y Aprobaciones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160"/>
        <w:gridCol w:w="3000"/>
      </w:tblGrid>
      <w:tr>
        <w:trPr>
          <w:tblHeader/>
        </w:trPr>
        <w:tc>
          <w:tcPr>
            <w:tcW w:type="dxa" w:w="1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Versión</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Fecha</w:t>
            </w:r>
          </w:p>
        </w:tc>
        <w:tc>
          <w:tcPr>
            <w:tcW w:type="dxa" w:w="31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Descripción del Cambio</w:t>
            </w:r>
          </w:p>
        </w:tc>
        <w:tc>
          <w:tcPr>
            <w:tcW w:type="dxa" w:w="3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Aprobado por</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1.0</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[DD/MM/AAAA]</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Emisión inicial del documento</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[Nombre / Cargo]</w:t>
            </w:r>
          </w:p>
        </w:tc>
      </w:tr>
      <w:tr>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iCs/>
                <w:color w:val="AAAAAA"/>
                <w:sz w:val="20"/>
                <w:szCs w:val="20"/>
              </w:rPr>
              <w:t xml:space="preserve">[                          ]</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Firmas de Aprobación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Elaborado por</w:t>
            </w:r>
          </w:p>
        </w:tc>
        <w:tc>
          <w:tcPr>
            <w:tcW w:type="dxa" w:w="312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Revisado por</w:t>
            </w:r>
          </w:p>
        </w:tc>
        <w:tc>
          <w:tcPr>
            <w:tcW w:type="dxa" w:w="312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Aprobado por</w:t>
            </w:r>
          </w:p>
        </w:tc>
      </w:tr>
      <w:tr>
        <w:tc>
          <w:tcPr>
            <w:tcW w:type="dxa" w:w="3120"/>
            <w:tcBorders>
              <w:top w:val="single" w:color="CCCCCC" w:sz="1"/>
              <w:left w:val="single" w:color="CCCCCC" w:sz="1"/>
              <w:bottom w:val="single" w:color="CCCCCC" w:sz="1"/>
              <w:right w:val="single" w:color="CCCCCC" w:sz="1"/>
            </w:tcBorders>
            <w:shd w:fill="FFFFFF" w:val="clear"/>
            <w:tcMar>
              <w:top w:type="dxa" w:w="500"/>
              <w:left w:type="dxa" w:w="150"/>
              <w:bottom w:type="dxa" w:w="500"/>
              <w:right w:type="dxa" w:w="150"/>
            </w:tcMar>
          </w:tcPr>
          <w:p>
            <w:pPr>
              <w:jc w:val="center"/>
            </w:pPr>
            <w:r>
              <w:rPr>
                <w:rFonts w:ascii="Arial" w:cs="Arial" w:eastAsia="Arial" w:hAnsi="Arial"/>
                <w:sz w:val="18"/>
                <w:szCs w:val="18"/>
              </w:rPr>
              <w:t xml:space="preserve">___________________________</w:t>
            </w:r>
          </w:p>
          <w:p>
            <w:pPr>
              <w:spacing w:before="80"/>
              <w:jc w:val="center"/>
            </w:pPr>
            <w:r>
              <w:rPr>
                <w:rFonts w:ascii="Arial" w:cs="Arial" w:eastAsia="Arial" w:hAnsi="Arial"/>
                <w:i/>
                <w:iCs/>
                <w:color w:val="AAAAAA"/>
                <w:sz w:val="18"/>
                <w:szCs w:val="18"/>
              </w:rPr>
              <w:t xml:space="preserve">[Nombre]</w:t>
            </w:r>
          </w:p>
          <w:p>
            <w:pPr>
              <w:jc w:val="center"/>
            </w:pPr>
            <w:r>
              <w:rPr>
                <w:rFonts w:ascii="Arial" w:cs="Arial" w:eastAsia="Arial" w:hAnsi="Arial"/>
                <w:i/>
                <w:iCs/>
                <w:color w:val="AAAAAA"/>
                <w:sz w:val="18"/>
                <w:szCs w:val="18"/>
              </w:rPr>
              <w:t xml:space="preserve">[Cargo]</w:t>
            </w:r>
          </w:p>
          <w:p>
            <w:pPr>
              <w:jc w:val="center"/>
            </w:pPr>
            <w:r>
              <w:rPr>
                <w:rFonts w:ascii="Arial" w:cs="Arial" w:eastAsia="Arial" w:hAnsi="Arial"/>
                <w:i/>
                <w:iCs/>
                <w:color w:val="AAAAAA"/>
                <w:sz w:val="18"/>
                <w:szCs w:val="18"/>
              </w:rPr>
              <w:t xml:space="preserve">[Fecha]</w:t>
            </w:r>
          </w:p>
        </w:tc>
        <w:tc>
          <w:tcPr>
            <w:tcW w:type="dxa" w:w="3120"/>
            <w:tcBorders>
              <w:top w:val="single" w:color="CCCCCC" w:sz="1"/>
              <w:left w:val="single" w:color="CCCCCC" w:sz="1"/>
              <w:bottom w:val="single" w:color="CCCCCC" w:sz="1"/>
              <w:right w:val="single" w:color="CCCCCC" w:sz="1"/>
            </w:tcBorders>
            <w:shd w:fill="FFFFFF" w:val="clear"/>
            <w:tcMar>
              <w:top w:type="dxa" w:w="500"/>
              <w:left w:type="dxa" w:w="150"/>
              <w:bottom w:type="dxa" w:w="500"/>
              <w:right w:type="dxa" w:w="150"/>
            </w:tcMar>
          </w:tcPr>
          <w:p>
            <w:pPr>
              <w:jc w:val="center"/>
            </w:pPr>
            <w:r>
              <w:rPr>
                <w:rFonts w:ascii="Arial" w:cs="Arial" w:eastAsia="Arial" w:hAnsi="Arial"/>
                <w:sz w:val="18"/>
                <w:szCs w:val="18"/>
              </w:rPr>
              <w:t xml:space="preserve">___________________________</w:t>
            </w:r>
          </w:p>
          <w:p>
            <w:pPr>
              <w:spacing w:before="80"/>
              <w:jc w:val="center"/>
            </w:pPr>
            <w:r>
              <w:rPr>
                <w:rFonts w:ascii="Arial" w:cs="Arial" w:eastAsia="Arial" w:hAnsi="Arial"/>
                <w:i/>
                <w:iCs/>
                <w:color w:val="AAAAAA"/>
                <w:sz w:val="18"/>
                <w:szCs w:val="18"/>
              </w:rPr>
              <w:t xml:space="preserve">[Nombre]</w:t>
            </w:r>
          </w:p>
          <w:p>
            <w:pPr>
              <w:jc w:val="center"/>
            </w:pPr>
            <w:r>
              <w:rPr>
                <w:rFonts w:ascii="Arial" w:cs="Arial" w:eastAsia="Arial" w:hAnsi="Arial"/>
                <w:i/>
                <w:iCs/>
                <w:color w:val="AAAAAA"/>
                <w:sz w:val="18"/>
                <w:szCs w:val="18"/>
              </w:rPr>
              <w:t xml:space="preserve">[Cargo]</w:t>
            </w:r>
          </w:p>
          <w:p>
            <w:pPr>
              <w:jc w:val="center"/>
            </w:pPr>
            <w:r>
              <w:rPr>
                <w:rFonts w:ascii="Arial" w:cs="Arial" w:eastAsia="Arial" w:hAnsi="Arial"/>
                <w:i/>
                <w:iCs/>
                <w:color w:val="AAAAAA"/>
                <w:sz w:val="18"/>
                <w:szCs w:val="18"/>
              </w:rPr>
              <w:t xml:space="preserve">[Fecha]</w:t>
            </w:r>
          </w:p>
        </w:tc>
        <w:tc>
          <w:tcPr>
            <w:tcW w:type="dxa" w:w="3120"/>
            <w:tcBorders>
              <w:top w:val="single" w:color="CCCCCC" w:sz="1"/>
              <w:left w:val="single" w:color="CCCCCC" w:sz="1"/>
              <w:bottom w:val="single" w:color="CCCCCC" w:sz="1"/>
              <w:right w:val="single" w:color="CCCCCC" w:sz="1"/>
            </w:tcBorders>
            <w:shd w:fill="FFFFFF" w:val="clear"/>
            <w:tcMar>
              <w:top w:type="dxa" w:w="500"/>
              <w:left w:type="dxa" w:w="150"/>
              <w:bottom w:type="dxa" w:w="500"/>
              <w:right w:type="dxa" w:w="150"/>
            </w:tcMar>
          </w:tcPr>
          <w:p>
            <w:pPr>
              <w:jc w:val="center"/>
            </w:pPr>
            <w:r>
              <w:rPr>
                <w:rFonts w:ascii="Arial" w:cs="Arial" w:eastAsia="Arial" w:hAnsi="Arial"/>
                <w:sz w:val="18"/>
                <w:szCs w:val="18"/>
              </w:rPr>
              <w:t xml:space="preserve">___________________________</w:t>
            </w:r>
          </w:p>
          <w:p>
            <w:pPr>
              <w:spacing w:before="80"/>
              <w:jc w:val="center"/>
            </w:pPr>
            <w:r>
              <w:rPr>
                <w:rFonts w:ascii="Arial" w:cs="Arial" w:eastAsia="Arial" w:hAnsi="Arial"/>
                <w:i/>
                <w:iCs/>
                <w:color w:val="AAAAAA"/>
                <w:sz w:val="18"/>
                <w:szCs w:val="18"/>
              </w:rPr>
              <w:t xml:space="preserve">[Nombre]</w:t>
            </w:r>
          </w:p>
          <w:p>
            <w:pPr>
              <w:jc w:val="center"/>
            </w:pPr>
            <w:r>
              <w:rPr>
                <w:rFonts w:ascii="Arial" w:cs="Arial" w:eastAsia="Arial" w:hAnsi="Arial"/>
                <w:i/>
                <w:iCs/>
                <w:color w:val="AAAAAA"/>
                <w:sz w:val="18"/>
                <w:szCs w:val="18"/>
              </w:rPr>
              <w:t xml:space="preserve">[Cargo]</w:t>
            </w:r>
          </w:p>
          <w:p>
            <w:pPr>
              <w:jc w:val="center"/>
            </w:pPr>
            <w:r>
              <w:rPr>
                <w:rFonts w:ascii="Arial" w:cs="Arial" w:eastAsia="Arial" w:hAnsi="Arial"/>
                <w:i/>
                <w:iCs/>
                <w:color w:val="AAAAAA"/>
                <w:sz w:val="18"/>
                <w:szCs w:val="18"/>
              </w:rPr>
              <w:t xml:space="preserve">[Fecha]</w:t>
            </w:r>
          </w:p>
        </w:tc>
      </w:tr>
    </w:tbl>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1. Propósito y Alcance</w:t>
      </w:r>
    </w:p>
    <w:p>
      <w:pPr>
        <w:pStyle w:val="Heading2"/>
        <w:spacing w:after="120" w:before="280"/>
      </w:pPr>
      <w:r>
        <w:rPr>
          <w:rFonts w:ascii="Arial" w:cs="Arial" w:eastAsia="Arial" w:hAnsi="Arial"/>
          <w:b/>
          <w:bCs/>
          <w:color w:val="2E5FA3"/>
          <w:sz w:val="24"/>
          <w:szCs w:val="24"/>
        </w:rPr>
        <w:t xml:space="preserve">1.1 Propósito</w:t>
      </w:r>
    </w:p>
    <w:p>
      <w:pPr>
        <w:spacing w:after="80" w:before="80"/>
      </w:pPr>
      <w:r>
        <w:rPr>
          <w:rFonts w:ascii="Arial" w:cs="Arial" w:eastAsia="Arial" w:hAnsi="Arial"/>
          <w:color w:val="333333"/>
          <w:sz w:val="20"/>
          <w:szCs w:val="20"/>
        </w:rPr>
        <w:t xml:space="preserve">La presente política establece los requerimientos mínimos para la gestión segura del Sistema de Nombres de Dominio (DNS) en [NOMBRE DE LA EMPRESA]. Su objetivo es garantizar la disponibilidad, integridad y confidencialidad de la resolución de nombres, protegiendo la infraestructura tecnológica de ataques basados en DNS y asegurando la continuidad operativa del negocio.</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6E4F7" w:sz="1"/>
              <w:left w:val="single" w:color="D6E4F7" w:sz="1"/>
              <w:bottom w:val="single" w:color="D6E4F7" w:sz="1"/>
              <w:right w:val="single" w:color="D6E4F7" w:sz="1"/>
            </w:tcBorders>
            <w:shd w:fill="D6E4F7" w:val="clear"/>
            <w:tcMar>
              <w:top w:type="dxa" w:w="100"/>
              <w:left w:type="dxa" w:w="150"/>
              <w:bottom w:type="dxa" w:w="100"/>
              <w:right w:type="dxa" w:w="150"/>
            </w:tcMar>
          </w:tcPr>
          <w:p>
            <w:r>
              <w:rPr>
                <w:rFonts w:ascii="Arial" w:cs="Arial" w:eastAsia="Arial" w:hAnsi="Arial"/>
                <w:b w:val="false"/>
                <w:bCs w:val="false"/>
                <w:color w:val="1B3A6B"/>
                <w:sz w:val="20"/>
                <w:szCs w:val="20"/>
              </w:rPr>
              <w:t xml:space="preserve">NOTA PARA EL LECTOR: Complete los campos marcados en [corchetes] con la información específica de su organización. Esta plantilla está alineada con los controles de ISO 27001:2022 (Anexo A) y los requerimientos de DNS seguro del estándar PCI DSS v4.0.</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1.2 Alcance</w:t>
      </w:r>
    </w:p>
    <w:p>
      <w:pPr>
        <w:spacing w:after="80" w:before="80"/>
      </w:pPr>
      <w:r>
        <w:rPr>
          <w:rFonts w:ascii="Arial" w:cs="Arial" w:eastAsia="Arial" w:hAnsi="Arial"/>
          <w:color w:val="333333"/>
          <w:sz w:val="20"/>
          <w:szCs w:val="20"/>
        </w:rPr>
        <w:t xml:space="preserve">Esta política aplica a:</w:t>
      </w:r>
    </w:p>
    <w:p>
      <w:pPr>
        <w:pStyle w:val="ListParagraph"/>
        <w:numPr>
          <w:ilvl w:val="0"/>
          <w:numId w:val="2"/>
        </w:numPr>
        <w:spacing w:after="60" w:before="60"/>
      </w:pPr>
      <w:r>
        <w:rPr>
          <w:rFonts w:ascii="Arial" w:cs="Arial" w:eastAsia="Arial" w:hAnsi="Arial"/>
          <w:color w:val="333333"/>
          <w:sz w:val="20"/>
          <w:szCs w:val="20"/>
        </w:rPr>
        <w:t xml:space="preserve">Todos los servidores DNS internos y externos de la organización</w:t>
      </w:r>
    </w:p>
    <w:p>
      <w:pPr>
        <w:pStyle w:val="ListParagraph"/>
        <w:numPr>
          <w:ilvl w:val="0"/>
          <w:numId w:val="2"/>
        </w:numPr>
        <w:spacing w:after="60" w:before="60"/>
      </w:pPr>
      <w:r>
        <w:rPr>
          <w:rFonts w:ascii="Arial" w:cs="Arial" w:eastAsia="Arial" w:hAnsi="Arial"/>
          <w:color w:val="333333"/>
          <w:sz w:val="20"/>
          <w:szCs w:val="20"/>
        </w:rPr>
        <w:t xml:space="preserve">Los dispositivos de red y sistemas que consumen servicios DNS</w:t>
      </w:r>
    </w:p>
    <w:p>
      <w:pPr>
        <w:pStyle w:val="ListParagraph"/>
        <w:numPr>
          <w:ilvl w:val="0"/>
          <w:numId w:val="2"/>
        </w:numPr>
        <w:spacing w:after="60" w:before="60"/>
      </w:pPr>
      <w:r>
        <w:rPr>
          <w:rFonts w:ascii="Arial" w:cs="Arial" w:eastAsia="Arial" w:hAnsi="Arial"/>
          <w:color w:val="333333"/>
          <w:sz w:val="20"/>
          <w:szCs w:val="20"/>
        </w:rPr>
        <w:t xml:space="preserve">El personal de TI, administradores de sistemas y proveedores con acceso a la infraestructura DNS</w:t>
      </w:r>
    </w:p>
    <w:p>
      <w:pPr>
        <w:pStyle w:val="ListParagraph"/>
        <w:numPr>
          <w:ilvl w:val="0"/>
          <w:numId w:val="2"/>
        </w:numPr>
        <w:spacing w:after="60" w:before="60"/>
      </w:pPr>
      <w:r>
        <w:rPr>
          <w:rFonts w:ascii="Arial" w:cs="Arial" w:eastAsia="Arial" w:hAnsi="Arial"/>
          <w:color w:val="333333"/>
          <w:sz w:val="20"/>
          <w:szCs w:val="20"/>
        </w:rPr>
        <w:t xml:space="preserve">Dominios registrados a nombre de la organización y subdominios asociados</w:t>
      </w:r>
    </w:p>
    <w:p>
      <w:pPr>
        <w:pStyle w:val="ListParagraph"/>
        <w:numPr>
          <w:ilvl w:val="0"/>
          <w:numId w:val="2"/>
        </w:numPr>
        <w:spacing w:after="60" w:before="60"/>
      </w:pPr>
      <w:r>
        <w:rPr>
          <w:rFonts w:ascii="Arial" w:cs="Arial" w:eastAsia="Arial" w:hAnsi="Arial"/>
          <w:color w:val="333333"/>
          <w:sz w:val="20"/>
          <w:szCs w:val="20"/>
        </w:rPr>
        <w:t xml:space="preserve">Zonas DNS utilizadas en entornos de producción, desarrollo y pruebas</w:t>
      </w:r>
    </w:p>
    <w:p>
      <w:pPr>
        <w:spacing w:after="80" w:before="80"/>
      </w:pPr>
      <w:r>
        <w:t xml:space="preserve"/>
      </w:r>
    </w:p>
    <w:p>
      <w:pPr>
        <w:pStyle w:val="Heading2"/>
        <w:spacing w:after="120" w:before="280"/>
      </w:pPr>
      <w:r>
        <w:rPr>
          <w:rFonts w:ascii="Arial" w:cs="Arial" w:eastAsia="Arial" w:hAnsi="Arial"/>
          <w:b/>
          <w:bCs/>
          <w:color w:val="2E5FA3"/>
          <w:sz w:val="24"/>
          <w:szCs w:val="24"/>
        </w:rPr>
        <w:t xml:space="preserve">1.3 Marco Normativo de Referencia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Marco / Norma</w:t>
            </w:r>
          </w:p>
        </w:tc>
        <w:tc>
          <w:tcPr>
            <w:tcW w:type="dxa" w:w="65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Control o Requerimiento Relacionado</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27001:2022 – A.8.20</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Seguridad en redes: controles de servicios de red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27001:2022 – A.8.22</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Segregación de redes y control de tráfico</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27001:2022 – A.8.9</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Gestión de la configuración de activos tecnológicos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PCI DSS v4.0 – Req. 1.3</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Control de tráfico de red entrante y saliente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PCI DSS v4.0 – Req. 6.3</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Gestión de vulnerabilidades en componentes del sistema</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NIST SP 800-81r2</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Guía de práctica para DNS seguro</w:t>
            </w:r>
          </w:p>
        </w:tc>
      </w:tr>
    </w:tbl>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2. Roles y Responsabilidades</w:t>
      </w:r>
    </w:p>
    <w:p>
      <w:pPr>
        <w:spacing w:after="80" w:before="80"/>
      </w:pPr>
      <w:r>
        <w:rPr>
          <w:rFonts w:ascii="Arial" w:cs="Arial" w:eastAsia="Arial" w:hAnsi="Arial"/>
          <w:color w:val="333333"/>
          <w:sz w:val="20"/>
          <w:szCs w:val="20"/>
        </w:rPr>
        <w:t xml:space="preserve">La siguiente tabla define los responsables del cumplimiento de esta política: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Rol</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Responsable</w:t>
            </w:r>
          </w:p>
        </w:tc>
        <w:tc>
          <w:tcPr>
            <w:tcW w:type="dxa" w:w="35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Responsabilidades Clave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Propietario de la Política</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[Cargo: CISO / Gerente TI]</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Aprobación, revisión anual y actualización de esta política</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[Cargo: Administrador de Red / Sysadmin]</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Configuración, monitoreo y mantenimiento de servidores DNS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Oficial de Seguridad</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[Cargo: ISO / Analista de Seguridad]</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Auditoría de cumplimiento, revisión de registros, gestión de incidentes DNS</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Usuarios / Sistemas</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Todo el personal y sistemas internos</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Uso del DNS interno autorizado; no modificar configuraciones DNS en equipos propios</w:t>
            </w:r>
          </w:p>
        </w:tc>
      </w:tr>
    </w:tbl>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3. Requerimientos de Configuración DNS</w:t>
      </w:r>
    </w:p>
    <w:p>
      <w:pPr>
        <w:pStyle w:val="Heading2"/>
        <w:spacing w:after="120" w:before="280"/>
      </w:pPr>
      <w:r>
        <w:rPr>
          <w:rFonts w:ascii="Arial" w:cs="Arial" w:eastAsia="Arial" w:hAnsi="Arial"/>
          <w:b/>
          <w:bCs/>
          <w:color w:val="2E5FA3"/>
          <w:sz w:val="24"/>
          <w:szCs w:val="24"/>
        </w:rPr>
        <w:t xml:space="preserve">3.1 Servidores DNS Autorizados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8D7DA" w:sz="1"/>
              <w:left w:val="single" w:color="F8D7DA" w:sz="1"/>
              <w:bottom w:val="single" w:color="F8D7DA" w:sz="1"/>
              <w:right w:val="single" w:color="F8D7DA" w:sz="1"/>
            </w:tcBorders>
            <w:shd w:fill="F8D7DA" w:val="clear"/>
            <w:tcMar>
              <w:top w:type="dxa" w:w="100"/>
              <w:left w:type="dxa" w:w="150"/>
              <w:bottom w:type="dxa" w:w="100"/>
              <w:right w:type="dxa" w:w="150"/>
            </w:tcMar>
          </w:tcPr>
          <w:p>
            <w:r>
              <w:rPr>
                <w:rFonts w:ascii="Arial" w:cs="Arial" w:eastAsia="Arial" w:hAnsi="Arial"/>
                <w:b/>
                <w:bCs/>
                <w:color w:val="7B0A0A"/>
                <w:sz w:val="20"/>
                <w:szCs w:val="20"/>
              </w:rPr>
              <w:t xml:space="preserve">REQUERIMIENTO OBLIGATORIO: Únicamente los servidores DNS autorizados y documentados pueden responder consultas en la red corporativa. Está prohibido el uso de servidores DNS públicos no autorizados desde equipos de la organización.</w:t>
            </w:r>
          </w:p>
        </w:tc>
      </w:tr>
    </w:tbl>
    <w:p>
      <w:pPr>
        <w:spacing w:after="80" w:before="80"/>
      </w:pPr>
      <w:r>
        <w:t xml:space="preserve"/>
      </w:r>
    </w:p>
    <w:p>
      <w:pPr>
        <w:spacing w:after="80" w:before="80"/>
      </w:pPr>
      <w:r>
        <w:rPr>
          <w:rFonts w:ascii="Arial" w:cs="Arial" w:eastAsia="Arial" w:hAnsi="Arial"/>
          <w:color w:val="333333"/>
          <w:sz w:val="20"/>
          <w:szCs w:val="20"/>
        </w:rPr>
        <w:t xml:space="preserve">Los servidores DNS corporativos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1680"/>
        <w:gridCol w:w="1680"/>
      </w:tblGrid>
      <w:tr>
        <w:trPr>
          <w:tblHeader/>
        </w:trPr>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Nombre del Servidor</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Dirección IP</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Función</w:t>
            </w:r>
          </w:p>
        </w:tc>
        <w:tc>
          <w:tcPr>
            <w:tcW w:type="dxa" w:w="168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Ubicación</w:t>
            </w:r>
          </w:p>
        </w:tc>
        <w:tc>
          <w:tcPr>
            <w:tcW w:type="dxa" w:w="168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Proveedor / S.O.</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[dns01.empresa.com]</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[10.x.x.x]</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Primario interno</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[Sede principal]</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[BIND / Windows DNS]</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[dns02.empresa.com]</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[10.x.x.x]</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Secundario interno</w:t>
            </w:r>
          </w:p>
        </w:tc>
        <w:tc>
          <w:tcPr>
            <w:tcW w:type="dxa" w:w="1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[Sede / Nube]</w:t>
            </w:r>
          </w:p>
        </w:tc>
        <w:tc>
          <w:tcPr>
            <w:tcW w:type="dxa" w:w="1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[BIND / Windows DNS]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[Proveedor externo]</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[x.x.x.x]</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externo / autoritativo</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[Nube]</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[Cloudflare / AWS Route 53]</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3.2 Parámetros de Configuración Segura</w:t>
      </w:r>
    </w:p>
    <w:p>
      <w:pPr>
        <w:spacing w:after="80" w:before="80"/>
      </w:pPr>
      <w:r>
        <w:rPr>
          <w:rFonts w:ascii="Arial" w:cs="Arial" w:eastAsia="Arial" w:hAnsi="Arial"/>
          <w:color w:val="333333"/>
          <w:sz w:val="20"/>
          <w:szCs w:val="20"/>
        </w:rPr>
        <w:t xml:space="preserve">Los servidores DNS deben configurarse conforme a los siguientes parámetros mínimos: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560"/>
      </w:tblGrid>
      <w:tr>
        <w:trPr>
          <w:tblHeader/>
        </w:trPr>
        <w:tc>
          <w:tcPr>
            <w:tcW w:type="dxa" w:w="38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Parámetro</w:t>
            </w:r>
          </w:p>
        </w:tc>
        <w:tc>
          <w:tcPr>
            <w:tcW w:type="dxa" w:w="3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Valor Requerido</w:t>
            </w:r>
          </w:p>
        </w:tc>
        <w:tc>
          <w:tcPr>
            <w:tcW w:type="dxa" w:w="25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Justificación</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Transferencias de zona (AXFR/IXFR)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Solo hacia servidores secundarios autorizados (ACL restringida)</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Previene exfiltración de toda la zona DNS</w:t>
            </w:r>
          </w:p>
        </w:tc>
      </w:tr>
      <w:tr>
        <w:tc>
          <w:tcPr>
            <w:tcW w:type="dxa" w:w="3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Recursión DNS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Deshabilitada en servidores autoritativos externos</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Previene ataques de amplificación DNS</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sobre HTTPS (DoH) / DNS sobre TLS (DoT)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Habilitado según capacidad del servidor</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Confidencialidad de las consultas DNS</w:t>
            </w:r>
          </w:p>
        </w:tc>
      </w:tr>
      <w:tr>
        <w:tc>
          <w:tcPr>
            <w:tcW w:type="dxa" w:w="3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Tamaño máximo de respuesta UDP</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512 bytes (o habilitar EDNS0)</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Compatibilidad y protección contra amplificación</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DNSSEC</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Habilitado en zonas externas críticas</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Garantiza autenticidad e integridad de registros DNS</w:t>
            </w:r>
          </w:p>
        </w:tc>
      </w:tr>
      <w:tr>
        <w:tc>
          <w:tcPr>
            <w:tcW w:type="dxa" w:w="3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TTL de registros SOA</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Mínimo 300 segundos, máximo [86400] segundos</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Balance entre disponibilidad y propagación</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Rate Limiting (RRL)</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Habilitado: máximo [20] resp/seg por IP origen</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Mitiga ataques de amplificación y DDoS</w:t>
            </w:r>
          </w:p>
        </w:tc>
      </w:tr>
      <w:tr>
        <w:tc>
          <w:tcPr>
            <w:tcW w:type="dxa" w:w="3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Versión del software DNS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No exponer versión en consultas CHAOS</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Evita reconocimiento de vulnerabilidades</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3.3 Registros DNS Requeridos</w:t>
      </w:r>
    </w:p>
    <w:p>
      <w:pPr>
        <w:spacing w:after="80" w:before="80"/>
      </w:pPr>
      <w:r>
        <w:rPr>
          <w:rFonts w:ascii="Arial" w:cs="Arial" w:eastAsia="Arial" w:hAnsi="Arial"/>
          <w:color w:val="333333"/>
          <w:sz w:val="20"/>
          <w:szCs w:val="20"/>
        </w:rPr>
        <w:t xml:space="preserve">Para cada dominio de la organización se deben configurar los siguientes registros de seguridad: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400"/>
        <w:gridCol w:w="2160"/>
      </w:tblGrid>
      <w:tr>
        <w:trPr>
          <w:tblHeader/>
        </w:trPr>
        <w:tc>
          <w:tcPr>
            <w:tcW w:type="dxa" w:w="1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Tipo de Registro</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Dominio Ejemplo</w:t>
            </w:r>
          </w:p>
        </w:tc>
        <w:tc>
          <w:tcPr>
            <w:tcW w:type="dxa" w:w="34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Valor / Política</w:t>
            </w:r>
          </w:p>
        </w:tc>
        <w:tc>
          <w:tcPr>
            <w:tcW w:type="dxa" w:w="21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Propósito</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SPF (TXT)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empresa.com</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v=spf1 ip4:[x.x.x.x] include:[proveedor] -all</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Anti-spoofing de correo</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DKIM (TXT)</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_domainkey.empresa.com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v=DKIM1; k=rsa; p=[clave pública]</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Autenticación de correo</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DMARC (TXT)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_dmarc.empresa.com</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v=DMARC1; p=quarantine; rua=mailto:[admin@empresa.com]</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Política de autenticación de correo</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CAA</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empresa.com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0 issue "[autoridad-certificadora.com]"</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Limita emisores de certificados SSL/TLS</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PTR (Reverso)</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x.x.x.x.in-addr.arpa</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Apunta al hostname correspondiente</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Autenticación inversa y antispam</w:t>
            </w:r>
          </w:p>
        </w:tc>
      </w:tr>
    </w:tbl>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4. Implementación de DNSSEC</w:t>
      </w:r>
    </w:p>
    <w:p>
      <w:pPr>
        <w:spacing w:after="80" w:before="80"/>
      </w:pPr>
      <w:r>
        <w:rPr>
          <w:rFonts w:ascii="Arial" w:cs="Arial" w:eastAsia="Arial" w:hAnsi="Arial"/>
          <w:color w:val="333333"/>
          <w:sz w:val="20"/>
          <w:szCs w:val="20"/>
        </w:rPr>
        <w:t xml:space="preserve">DNSSEC (DNS Security Extensions) agrega autenticación criptográfica a las respuestas DNS, previniendo ataques de tipo cache poisoning y man-in-the-middle. Su implementación es obligatoria para los dominios externos de la organización.</w:t>
      </w:r>
    </w:p>
    <w:p>
      <w:pPr>
        <w:spacing w:after="80" w:before="80"/>
      </w:pPr>
      <w:r>
        <w:t xml:space="preserve"/>
      </w:r>
    </w:p>
    <w:p>
      <w:pPr>
        <w:pStyle w:val="Heading2"/>
        <w:spacing w:after="120" w:before="280"/>
      </w:pPr>
      <w:r>
        <w:rPr>
          <w:rFonts w:ascii="Arial" w:cs="Arial" w:eastAsia="Arial" w:hAnsi="Arial"/>
          <w:b/>
          <w:bCs/>
          <w:color w:val="2E5FA3"/>
          <w:sz w:val="24"/>
          <w:szCs w:val="24"/>
        </w:rPr>
        <w:t xml:space="preserve">4.1 Requerimientos DNSSEC</w:t>
      </w:r>
    </w:p>
    <w:p>
      <w:pPr>
        <w:pStyle w:val="ListParagraph"/>
        <w:numPr>
          <w:ilvl w:val="0"/>
          <w:numId w:val="2"/>
        </w:numPr>
        <w:spacing w:after="60" w:before="60"/>
      </w:pPr>
      <w:r>
        <w:rPr>
          <w:rFonts w:ascii="Arial" w:cs="Arial" w:eastAsia="Arial" w:hAnsi="Arial"/>
          <w:color w:val="333333"/>
          <w:sz w:val="20"/>
          <w:szCs w:val="20"/>
        </w:rPr>
        <w:t xml:space="preserve">Todos los dominios registrados externamente deben tener DNSSEC habilitado y las claves DS publicadas en el registrador del dominio</w:t>
      </w:r>
    </w:p>
    <w:p>
      <w:pPr>
        <w:pStyle w:val="ListParagraph"/>
        <w:numPr>
          <w:ilvl w:val="0"/>
          <w:numId w:val="2"/>
        </w:numPr>
        <w:spacing w:after="60" w:before="60"/>
      </w:pPr>
      <w:r>
        <w:rPr>
          <w:rFonts w:ascii="Arial" w:cs="Arial" w:eastAsia="Arial" w:hAnsi="Arial"/>
          <w:color w:val="333333"/>
          <w:sz w:val="20"/>
          <w:szCs w:val="20"/>
        </w:rPr>
        <w:t xml:space="preserve">Se deben generar y rotar las claves KSK (Key Signing Key) y ZSK (Zone Signing Key) según el calendario definido</w:t>
      </w:r>
    </w:p>
    <w:p>
      <w:pPr>
        <w:pStyle w:val="ListParagraph"/>
        <w:numPr>
          <w:ilvl w:val="0"/>
          <w:numId w:val="2"/>
        </w:numPr>
        <w:spacing w:after="60" w:before="60"/>
      </w:pPr>
      <w:r>
        <w:rPr>
          <w:rFonts w:ascii="Arial" w:cs="Arial" w:eastAsia="Arial" w:hAnsi="Arial"/>
          <w:color w:val="333333"/>
          <w:sz w:val="20"/>
          <w:szCs w:val="20"/>
        </w:rPr>
        <w:t xml:space="preserve">El administrador DNS debe verificar mensualmente el estado de las firmas DNSSEC mediante herramientas especializadas</w:t>
      </w:r>
    </w:p>
    <w:p>
      <w:pPr>
        <w:pStyle w:val="ListParagraph"/>
        <w:numPr>
          <w:ilvl w:val="0"/>
          <w:numId w:val="2"/>
        </w:numPr>
        <w:spacing w:after="60" w:before="60"/>
      </w:pPr>
      <w:r>
        <w:rPr>
          <w:rFonts w:ascii="Arial" w:cs="Arial" w:eastAsia="Arial" w:hAnsi="Arial"/>
          <w:color w:val="333333"/>
          <w:sz w:val="20"/>
          <w:szCs w:val="20"/>
        </w:rPr>
        <w:t xml:space="preserve">Las claves privadas DNSSEC se almacenarán en HSM (Hardware Security Module) o almacén de claves seguro</w:t>
      </w:r>
    </w:p>
    <w:p>
      <w:pPr>
        <w:spacing w:after="80" w:before="80"/>
      </w:pPr>
      <w:r>
        <w:t xml:space="preserve"/>
      </w:r>
    </w:p>
    <w:p>
      <w:pPr>
        <w:pStyle w:val="Heading2"/>
        <w:spacing w:after="120" w:before="280"/>
      </w:pPr>
      <w:r>
        <w:rPr>
          <w:rFonts w:ascii="Arial" w:cs="Arial" w:eastAsia="Arial" w:hAnsi="Arial"/>
          <w:b/>
          <w:bCs/>
          <w:color w:val="2E5FA3"/>
          <w:sz w:val="24"/>
          <w:szCs w:val="24"/>
        </w:rPr>
        <w:t xml:space="preserve">4.2 Calendario de Rotación de Claves DNSSEC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Tipo de Clave</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Algoritmo</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Frecuencia de Rotación</w:t>
            </w:r>
          </w:p>
        </w:tc>
        <w:tc>
          <w:tcPr>
            <w:tcW w:type="dxa" w:w="29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Responsable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ZSK (Zone Signing Key)</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RSASHA256 (2048 bits) o ECDSAP256SHA256</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Cada [90] días</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KSK (Key Signing Key)</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RSASHA256 (2048 bits) o ECDSAP256SHA256</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Cada [12] meses</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 + Aprobación CISO]</w:t>
            </w:r>
          </w:p>
        </w:tc>
      </w:tr>
    </w:tbl>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5. Gestión de Cambios en DNS</w:t>
      </w:r>
    </w:p>
    <w:p>
      <w:pPr>
        <w:pStyle w:val="Heading2"/>
        <w:spacing w:after="120" w:before="280"/>
      </w:pPr>
      <w:r>
        <w:rPr>
          <w:rFonts w:ascii="Arial" w:cs="Arial" w:eastAsia="Arial" w:hAnsi="Arial"/>
          <w:b/>
          <w:bCs/>
          <w:color w:val="2E5FA3"/>
          <w:sz w:val="24"/>
          <w:szCs w:val="24"/>
        </w:rPr>
        <w:t xml:space="preserve">5.1 Proceso de Cambios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3CD" w:sz="1"/>
              <w:left w:val="single" w:color="FFF3CD" w:sz="1"/>
              <w:bottom w:val="single" w:color="FFF3CD" w:sz="1"/>
              <w:right w:val="single" w:color="FFF3CD" w:sz="1"/>
            </w:tcBorders>
            <w:shd w:fill="FFF3CD" w:val="clear"/>
            <w:tcMar>
              <w:top w:type="dxa" w:w="100"/>
              <w:left w:type="dxa" w:w="150"/>
              <w:bottom w:type="dxa" w:w="100"/>
              <w:right w:type="dxa" w:w="150"/>
            </w:tcMar>
          </w:tcPr>
          <w:p>
            <w:r>
              <w:rPr>
                <w:rFonts w:ascii="Arial" w:cs="Arial" w:eastAsia="Arial" w:hAnsi="Arial"/>
                <w:b/>
                <w:bCs/>
                <w:color w:val="7D5C00"/>
                <w:sz w:val="20"/>
                <w:szCs w:val="20"/>
              </w:rPr>
              <w:t xml:space="preserve">Todo cambio en la configuración DNS (registros, zonas, servidores, ACLs) debe seguir el proceso formal de gestión de cambios de la organización. Los cambios no autorizados serán tratados como incidentes de seguridad.</w:t>
            </w:r>
          </w:p>
        </w:tc>
      </w:tr>
    </w:tbl>
    <w:p>
      <w:pPr>
        <w:spacing w:after="80" w:before="80"/>
      </w:pPr>
      <w:r>
        <w:t xml:space="preserve"/>
      </w:r>
    </w:p>
    <w:p>
      <w:pPr>
        <w:spacing w:after="80" w:before="80"/>
      </w:pPr>
      <w:r>
        <w:rPr>
          <w:rFonts w:ascii="Arial" w:cs="Arial" w:eastAsia="Arial" w:hAnsi="Arial"/>
          <w:color w:val="333333"/>
          <w:sz w:val="20"/>
          <w:szCs w:val="20"/>
        </w:rPr>
        <w:t xml:space="preserve">Los cambios en DNS se clasifican según su impacto potencial: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Tipo de Cambio</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Ejemplos</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Tiempo de Aprobación</w:t>
            </w:r>
          </w:p>
        </w:tc>
        <w:tc>
          <w:tcPr>
            <w:tcW w:type="dxa" w:w="19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Aprobador</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Estándar</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Agregar registro A, CNAME o MX para nuevo servicio</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24 horas</w:t>
            </w:r>
          </w:p>
        </w:tc>
        <w:tc>
          <w:tcPr>
            <w:tcW w:type="dxa" w:w="1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[Líder de TI]</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Significativo</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Modificar zona DNS, cambiar NS, actualizar SPF/DMARC</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48-72 horas</w:t>
            </w:r>
          </w:p>
        </w:tc>
        <w:tc>
          <w:tcPr>
            <w:tcW w:type="dxa" w:w="1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[Gerente TI + Seguridad]</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Emergencia</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Restauración por incidente crítico de disponibilidad DNS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Inmediato + documentación posterior</w:t>
            </w:r>
          </w:p>
        </w:tc>
        <w:tc>
          <w:tcPr>
            <w:tcW w:type="dxa" w:w="1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[CISO / Gerente TI]</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Mayor</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Migración de proveedor DNS, implementar DNSSEC, cambio de arquitectura</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1-2 semanas + CAB</w:t>
            </w:r>
          </w:p>
        </w:tc>
        <w:tc>
          <w:tcPr>
            <w:tcW w:type="dxa" w:w="1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[Comité de Cambios (CAB)]</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5.2 Inventario de Registros DNS</w:t>
      </w:r>
    </w:p>
    <w:p>
      <w:pPr>
        <w:spacing w:after="80" w:before="80"/>
      </w:pPr>
      <w:r>
        <w:rPr>
          <w:rFonts w:ascii="Arial" w:cs="Arial" w:eastAsia="Arial" w:hAnsi="Arial"/>
          <w:color w:val="333333"/>
          <w:sz w:val="20"/>
          <w:szCs w:val="20"/>
        </w:rPr>
        <w:t xml:space="preserve">La organización debe mantener un inventario actualizado de todos los registros DNS en [nombre de la herramienta / hoja de control]. Este inventario debe incluir:</w:t>
      </w:r>
    </w:p>
    <w:p>
      <w:pPr>
        <w:pStyle w:val="ListParagraph"/>
        <w:numPr>
          <w:ilvl w:val="0"/>
          <w:numId w:val="2"/>
        </w:numPr>
        <w:spacing w:after="60" w:before="60"/>
      </w:pPr>
      <w:r>
        <w:rPr>
          <w:rFonts w:ascii="Arial" w:cs="Arial" w:eastAsia="Arial" w:hAnsi="Arial"/>
          <w:color w:val="333333"/>
          <w:sz w:val="20"/>
          <w:szCs w:val="20"/>
        </w:rPr>
        <w:t xml:space="preserve">Nombre del registro y tipo (A, AAAA, CNAME, MX, TXT, NS, PTR, CAA, SRV)</w:t>
      </w:r>
    </w:p>
    <w:p>
      <w:pPr>
        <w:pStyle w:val="ListParagraph"/>
        <w:numPr>
          <w:ilvl w:val="0"/>
          <w:numId w:val="2"/>
        </w:numPr>
        <w:spacing w:after="60" w:before="60"/>
      </w:pPr>
      <w:r>
        <w:rPr>
          <w:rFonts w:ascii="Arial" w:cs="Arial" w:eastAsia="Arial" w:hAnsi="Arial"/>
          <w:color w:val="333333"/>
          <w:sz w:val="20"/>
          <w:szCs w:val="20"/>
        </w:rPr>
        <w:t xml:space="preserve">Valor / dirección IP o FQDN de destino</w:t>
      </w:r>
    </w:p>
    <w:p>
      <w:pPr>
        <w:pStyle w:val="ListParagraph"/>
        <w:numPr>
          <w:ilvl w:val="0"/>
          <w:numId w:val="2"/>
        </w:numPr>
        <w:spacing w:after="60" w:before="60"/>
      </w:pPr>
      <w:r>
        <w:rPr>
          <w:rFonts w:ascii="Arial" w:cs="Arial" w:eastAsia="Arial" w:hAnsi="Arial"/>
          <w:color w:val="333333"/>
          <w:sz w:val="20"/>
          <w:szCs w:val="20"/>
        </w:rPr>
        <w:t xml:space="preserve">TTL configurado</w:t>
      </w:r>
    </w:p>
    <w:p>
      <w:pPr>
        <w:pStyle w:val="ListParagraph"/>
        <w:numPr>
          <w:ilvl w:val="0"/>
          <w:numId w:val="2"/>
        </w:numPr>
        <w:spacing w:after="60" w:before="60"/>
      </w:pPr>
      <w:r>
        <w:rPr>
          <w:rFonts w:ascii="Arial" w:cs="Arial" w:eastAsia="Arial" w:hAnsi="Arial"/>
          <w:color w:val="333333"/>
          <w:sz w:val="20"/>
          <w:szCs w:val="20"/>
        </w:rPr>
        <w:t xml:space="preserve">Propietario del servicio asociado</w:t>
      </w:r>
    </w:p>
    <w:p>
      <w:pPr>
        <w:pStyle w:val="ListParagraph"/>
        <w:numPr>
          <w:ilvl w:val="0"/>
          <w:numId w:val="2"/>
        </w:numPr>
        <w:spacing w:after="60" w:before="60"/>
      </w:pPr>
      <w:r>
        <w:rPr>
          <w:rFonts w:ascii="Arial" w:cs="Arial" w:eastAsia="Arial" w:hAnsi="Arial"/>
          <w:color w:val="333333"/>
          <w:sz w:val="20"/>
          <w:szCs w:val="20"/>
        </w:rPr>
        <w:t xml:space="preserve">Fecha de creación y última modificación</w:t>
      </w:r>
    </w:p>
    <w:p>
      <w:pPr>
        <w:pStyle w:val="ListParagraph"/>
        <w:numPr>
          <w:ilvl w:val="0"/>
          <w:numId w:val="2"/>
        </w:numPr>
        <w:spacing w:after="60" w:before="60"/>
      </w:pPr>
      <w:r>
        <w:rPr>
          <w:rFonts w:ascii="Arial" w:cs="Arial" w:eastAsia="Arial" w:hAnsi="Arial"/>
          <w:color w:val="333333"/>
          <w:sz w:val="20"/>
          <w:szCs w:val="20"/>
        </w:rPr>
        <w:t xml:space="preserve">Propósito y sistema o servicio que lo usa</w:t>
      </w:r>
    </w:p>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6. Monitoreo, Logging y Detección de Amenazas</w:t>
      </w:r>
    </w:p>
    <w:p>
      <w:pPr>
        <w:pStyle w:val="Heading2"/>
        <w:spacing w:after="120" w:before="280"/>
      </w:pPr>
      <w:r>
        <w:rPr>
          <w:rFonts w:ascii="Arial" w:cs="Arial" w:eastAsia="Arial" w:hAnsi="Arial"/>
          <w:b/>
          <w:bCs/>
          <w:color w:val="2E5FA3"/>
          <w:sz w:val="24"/>
          <w:szCs w:val="24"/>
        </w:rPr>
        <w:t xml:space="preserve">6.1 Registros (Logs) de DNS</w:t>
      </w:r>
    </w:p>
    <w:p>
      <w:pPr>
        <w:spacing w:after="80" w:before="80"/>
      </w:pPr>
      <w:r>
        <w:rPr>
          <w:rFonts w:ascii="Arial" w:cs="Arial" w:eastAsia="Arial" w:hAnsi="Arial"/>
          <w:color w:val="333333"/>
          <w:sz w:val="20"/>
          <w:szCs w:val="20"/>
        </w:rPr>
        <w:t xml:space="preserve">Los servidores DNS deben generar y conservar registros que incluyan como mínimo:</w:t>
      </w:r>
    </w:p>
    <w:p>
      <w:pPr>
        <w:pStyle w:val="ListParagraph"/>
        <w:numPr>
          <w:ilvl w:val="0"/>
          <w:numId w:val="2"/>
        </w:numPr>
        <w:spacing w:after="60" w:before="60"/>
      </w:pPr>
      <w:r>
        <w:rPr>
          <w:rFonts w:ascii="Arial" w:cs="Arial" w:eastAsia="Arial" w:hAnsi="Arial"/>
          <w:color w:val="333333"/>
          <w:sz w:val="20"/>
          <w:szCs w:val="20"/>
        </w:rPr>
        <w:t xml:space="preserve">Fecha y hora de cada consulta DNS (timestamp con zona horaria UTC)</w:t>
      </w:r>
    </w:p>
    <w:p>
      <w:pPr>
        <w:pStyle w:val="ListParagraph"/>
        <w:numPr>
          <w:ilvl w:val="0"/>
          <w:numId w:val="2"/>
        </w:numPr>
        <w:spacing w:after="60" w:before="60"/>
      </w:pPr>
      <w:r>
        <w:rPr>
          <w:rFonts w:ascii="Arial" w:cs="Arial" w:eastAsia="Arial" w:hAnsi="Arial"/>
          <w:color w:val="333333"/>
          <w:sz w:val="20"/>
          <w:szCs w:val="20"/>
        </w:rPr>
        <w:t xml:space="preserve">Dirección IP de origen de la consulta</w:t>
      </w:r>
    </w:p>
    <w:p>
      <w:pPr>
        <w:pStyle w:val="ListParagraph"/>
        <w:numPr>
          <w:ilvl w:val="0"/>
          <w:numId w:val="2"/>
        </w:numPr>
        <w:spacing w:after="60" w:before="60"/>
      </w:pPr>
      <w:r>
        <w:rPr>
          <w:rFonts w:ascii="Arial" w:cs="Arial" w:eastAsia="Arial" w:hAnsi="Arial"/>
          <w:color w:val="333333"/>
          <w:sz w:val="20"/>
          <w:szCs w:val="20"/>
        </w:rPr>
        <w:t xml:space="preserve">Nombre de dominio consultado (QNAME) y tipo de registro (QTYPE)</w:t>
      </w:r>
    </w:p>
    <w:p>
      <w:pPr>
        <w:pStyle w:val="ListParagraph"/>
        <w:numPr>
          <w:ilvl w:val="0"/>
          <w:numId w:val="2"/>
        </w:numPr>
        <w:spacing w:after="60" w:before="60"/>
      </w:pPr>
      <w:r>
        <w:rPr>
          <w:rFonts w:ascii="Arial" w:cs="Arial" w:eastAsia="Arial" w:hAnsi="Arial"/>
          <w:color w:val="333333"/>
          <w:sz w:val="20"/>
          <w:szCs w:val="20"/>
        </w:rPr>
        <w:t xml:space="preserve">Código de respuesta del servidor (RCODE: NOERROR, NXDOMAIN, SERVFAIL, REFUSED)</w:t>
      </w:r>
    </w:p>
    <w:p>
      <w:pPr>
        <w:pStyle w:val="ListParagraph"/>
        <w:numPr>
          <w:ilvl w:val="0"/>
          <w:numId w:val="2"/>
        </w:numPr>
        <w:spacing w:after="60" w:before="60"/>
      </w:pPr>
      <w:r>
        <w:rPr>
          <w:rFonts w:ascii="Arial" w:cs="Arial" w:eastAsia="Arial" w:hAnsi="Arial"/>
          <w:color w:val="333333"/>
          <w:sz w:val="20"/>
          <w:szCs w:val="20"/>
        </w:rPr>
        <w:t xml:space="preserve">Tamaño de la respuesta en bytes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rPr>
          <w:tblHeader/>
        </w:trPr>
        <w:tc>
          <w:tcPr>
            <w:tcW w:type="dxa" w:w="3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Parámetro de Log</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Valor Requerido</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Referencia Normativa</w:t>
            </w:r>
          </w:p>
        </w:tc>
        <w:tc>
          <w:tcPr>
            <w:tcW w:type="dxa" w:w="21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Observaciones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Retención de logs DNS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Mínimo [12] meses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 A.8.15 / PCI DSS 10.7</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6 meses en línea + 6 en archivo</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Envío a SIEM</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Obligatorio (tiempo real)</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PCI DSS Req. 10.5</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Formato syslog o CEF</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Integridad de logs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Protegidos contra modificación</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 A.8.15</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Solo lectura para el servicio DNS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Revisión periódica</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Semanal automatizada + mensual manual</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ISO 27001 A.8.16</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[Oficial de Seguridad]</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6.2 Indicadores de Alerta Temprana (IoC DNS)</w:t>
      </w:r>
    </w:p>
    <w:p>
      <w:pPr>
        <w:spacing w:after="80" w:before="80"/>
      </w:pPr>
      <w:r>
        <w:rPr>
          <w:rFonts w:ascii="Arial" w:cs="Arial" w:eastAsia="Arial" w:hAnsi="Arial"/>
          <w:color w:val="333333"/>
          <w:sz w:val="20"/>
          <w:szCs w:val="20"/>
        </w:rPr>
        <w:t xml:space="preserve">Se deben configurar alertas automáticas ante los siguientes eventos:</w:t>
      </w:r>
    </w:p>
    <w:p>
      <w:pPr>
        <w:pStyle w:val="ListParagraph"/>
        <w:numPr>
          <w:ilvl w:val="0"/>
          <w:numId w:val="2"/>
        </w:numPr>
        <w:spacing w:after="60" w:before="60"/>
      </w:pPr>
      <w:r>
        <w:rPr>
          <w:rFonts w:ascii="Arial" w:cs="Arial" w:eastAsia="Arial" w:hAnsi="Arial"/>
          <w:color w:val="333333"/>
          <w:sz w:val="20"/>
          <w:szCs w:val="20"/>
        </w:rPr>
        <w:t xml:space="preserve">Volumen de consultas NXDOMAIN superior a [50] por minuto desde un mismo origen (posible DGA malware)</w:t>
      </w:r>
    </w:p>
    <w:p>
      <w:pPr>
        <w:pStyle w:val="ListParagraph"/>
        <w:numPr>
          <w:ilvl w:val="0"/>
          <w:numId w:val="2"/>
        </w:numPr>
        <w:spacing w:after="60" w:before="60"/>
      </w:pPr>
      <w:r>
        <w:rPr>
          <w:rFonts w:ascii="Arial" w:cs="Arial" w:eastAsia="Arial" w:hAnsi="Arial"/>
          <w:color w:val="333333"/>
          <w:sz w:val="20"/>
          <w:szCs w:val="20"/>
        </w:rPr>
        <w:t xml:space="preserve">Consultas DNS hacia dominios en listas de reputación negativa (Threat Intelligence Feeds)</w:t>
      </w:r>
    </w:p>
    <w:p>
      <w:pPr>
        <w:pStyle w:val="ListParagraph"/>
        <w:numPr>
          <w:ilvl w:val="0"/>
          <w:numId w:val="2"/>
        </w:numPr>
        <w:spacing w:after="60" w:before="60"/>
      </w:pPr>
      <w:r>
        <w:rPr>
          <w:rFonts w:ascii="Arial" w:cs="Arial" w:eastAsia="Arial" w:hAnsi="Arial"/>
          <w:color w:val="333333"/>
          <w:sz w:val="20"/>
          <w:szCs w:val="20"/>
        </w:rPr>
        <w:t xml:space="preserve">Intentos de transferencia de zona no autorizados (AXFR rechazados)</w:t>
      </w:r>
    </w:p>
    <w:p>
      <w:pPr>
        <w:pStyle w:val="ListParagraph"/>
        <w:numPr>
          <w:ilvl w:val="0"/>
          <w:numId w:val="2"/>
        </w:numPr>
        <w:spacing w:after="60" w:before="60"/>
      </w:pPr>
      <w:r>
        <w:rPr>
          <w:rFonts w:ascii="Arial" w:cs="Arial" w:eastAsia="Arial" w:hAnsi="Arial"/>
          <w:color w:val="333333"/>
          <w:sz w:val="20"/>
          <w:szCs w:val="20"/>
        </w:rPr>
        <w:t xml:space="preserve">Cambios en registros NS o SOA no iniciados por proceso de cambio formal</w:t>
      </w:r>
    </w:p>
    <w:p>
      <w:pPr>
        <w:pStyle w:val="ListParagraph"/>
        <w:numPr>
          <w:ilvl w:val="0"/>
          <w:numId w:val="2"/>
        </w:numPr>
        <w:spacing w:after="60" w:before="60"/>
      </w:pPr>
      <w:r>
        <w:rPr>
          <w:rFonts w:ascii="Arial" w:cs="Arial" w:eastAsia="Arial" w:hAnsi="Arial"/>
          <w:color w:val="333333"/>
          <w:sz w:val="20"/>
          <w:szCs w:val="20"/>
        </w:rPr>
        <w:t xml:space="preserve">Consultas DNS de tipo ANY en volumen inusual (posible amplificación)</w:t>
      </w:r>
    </w:p>
    <w:p>
      <w:pPr>
        <w:pStyle w:val="ListParagraph"/>
        <w:numPr>
          <w:ilvl w:val="0"/>
          <w:numId w:val="2"/>
        </w:numPr>
        <w:spacing w:after="60" w:before="60"/>
      </w:pPr>
      <w:r>
        <w:rPr>
          <w:rFonts w:ascii="Arial" w:cs="Arial" w:eastAsia="Arial" w:hAnsi="Arial"/>
          <w:color w:val="333333"/>
          <w:sz w:val="20"/>
          <w:szCs w:val="20"/>
        </w:rPr>
        <w:t xml:space="preserve">Subdominios de longitud inusual o con codificación base64 en el nombre (posible DNS tunneling)</w:t>
      </w:r>
    </w:p>
    <w:p>
      <w:pPr>
        <w:pStyle w:val="ListParagraph"/>
        <w:numPr>
          <w:ilvl w:val="0"/>
          <w:numId w:val="2"/>
        </w:numPr>
        <w:spacing w:after="60" w:before="60"/>
      </w:pPr>
      <w:r>
        <w:rPr>
          <w:rFonts w:ascii="Arial" w:cs="Arial" w:eastAsia="Arial" w:hAnsi="Arial"/>
          <w:color w:val="333333"/>
          <w:sz w:val="20"/>
          <w:szCs w:val="20"/>
        </w:rPr>
        <w:t xml:space="preserve">Respuestas con TTL=0 hacia dominios externos (posible fast-flux)</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EDDA" w:sz="1"/>
              <w:left w:val="single" w:color="D4EDDA" w:sz="1"/>
              <w:bottom w:val="single" w:color="D4EDDA" w:sz="1"/>
              <w:right w:val="single" w:color="D4EDDA" w:sz="1"/>
            </w:tcBorders>
            <w:shd w:fill="D4EDDA" w:val="clear"/>
            <w:tcMar>
              <w:top w:type="dxa" w:w="100"/>
              <w:left w:type="dxa" w:w="150"/>
              <w:bottom w:type="dxa" w:w="100"/>
              <w:right w:type="dxa" w:w="150"/>
            </w:tcMar>
          </w:tcPr>
          <w:p>
            <w:r>
              <w:rPr>
                <w:rFonts w:ascii="Arial" w:cs="Arial" w:eastAsia="Arial" w:hAnsi="Arial"/>
                <w:b w:val="false"/>
                <w:bCs w:val="false"/>
                <w:color w:val="0A4020"/>
                <w:sz w:val="20"/>
                <w:szCs w:val="20"/>
              </w:rPr>
              <w:t xml:space="preserve">DNS FILTERING: Se recomienda implementar una solución de filtrado DNS (Protective DNS / RPZ - Response Policy Zones) que bloquee dominios maliciosos conocidos antes de que generen una respuesta de red. Soluciones recomendadas para PyMEs: Cisco Umbrella, Cloudflare Gateway, NextDNS o implementación de RPZ con feeds de threat intelligence gratuitos (e.g., abuse.ch, Spamhaus).</w:t>
            </w:r>
          </w:p>
        </w:tc>
      </w:tr>
    </w:tbl>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7. Gestión de Dominios Registrados</w:t>
      </w:r>
    </w:p>
    <w:p>
      <w:pPr>
        <w:pStyle w:val="Heading2"/>
        <w:spacing w:after="120" w:before="280"/>
      </w:pPr>
      <w:r>
        <w:rPr>
          <w:rFonts w:ascii="Arial" w:cs="Arial" w:eastAsia="Arial" w:hAnsi="Arial"/>
          <w:b/>
          <w:bCs/>
          <w:color w:val="2E5FA3"/>
          <w:sz w:val="24"/>
          <w:szCs w:val="24"/>
        </w:rPr>
        <w:t xml:space="preserve">7.1 Inventario de Dominios</w:t>
      </w:r>
    </w:p>
    <w:p>
      <w:pPr>
        <w:spacing w:after="80" w:before="80"/>
      </w:pPr>
      <w:r>
        <w:rPr>
          <w:rFonts w:ascii="Arial" w:cs="Arial" w:eastAsia="Arial" w:hAnsi="Arial"/>
          <w:color w:val="333333"/>
          <w:sz w:val="20"/>
          <w:szCs w:val="20"/>
        </w:rPr>
        <w:t xml:space="preserve">La organización debe mantener un inventario de todos los dominios registrados a su nombre: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2360"/>
      </w:tblGrid>
      <w:tr>
        <w:trPr>
          <w:tblHeader/>
        </w:trPr>
        <w:tc>
          <w:tcPr>
            <w:tcW w:type="dxa" w:w="2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Dominio / Subdominio</w:t>
            </w:r>
          </w:p>
        </w:tc>
        <w:tc>
          <w:tcPr>
            <w:tcW w:type="dxa" w:w="1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Registrador</w:t>
            </w:r>
          </w:p>
        </w:tc>
        <w:tc>
          <w:tcPr>
            <w:tcW w:type="dxa" w:w="1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Fecha de Vencimiento</w:t>
            </w:r>
          </w:p>
        </w:tc>
        <w:tc>
          <w:tcPr>
            <w:tcW w:type="dxa" w:w="1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DNSSEC</w:t>
            </w:r>
          </w:p>
        </w:tc>
        <w:tc>
          <w:tcPr>
            <w:tcW w:type="dxa" w:w="23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Propietario Interno</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[empresa.com]</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[GoDaddy / NIC]</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[DD/MM/AAAA]</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[Sí / No]</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[Área de TI]</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[empresa.com.co]</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[Registrador]</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[DD/MM/AAAA]</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[Sí / No]</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[Área de TI]</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iCs/>
                <w:color w:val="AAAAAA"/>
                <w:sz w:val="20"/>
                <w:szCs w:val="20"/>
              </w:rPr>
              <w:t xml:space="preserve">[                          ]</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7.2 Controles de Protección de Dominio</w:t>
      </w:r>
    </w:p>
    <w:p>
      <w:pPr>
        <w:pStyle w:val="ListParagraph"/>
        <w:numPr>
          <w:ilvl w:val="0"/>
          <w:numId w:val="2"/>
        </w:numPr>
        <w:spacing w:after="60" w:before="60"/>
      </w:pPr>
      <w:r>
        <w:rPr>
          <w:rFonts w:ascii="Arial" w:cs="Arial" w:eastAsia="Arial" w:hAnsi="Arial"/>
          <w:color w:val="333333"/>
          <w:sz w:val="20"/>
          <w:szCs w:val="20"/>
        </w:rPr>
        <w:t xml:space="preserve">Todos los dominios corporativos deben tener habilitado Registry Lock o Domain Lock en el registrador</w:t>
      </w:r>
    </w:p>
    <w:p>
      <w:pPr>
        <w:pStyle w:val="ListParagraph"/>
        <w:numPr>
          <w:ilvl w:val="0"/>
          <w:numId w:val="2"/>
        </w:numPr>
        <w:spacing w:after="60" w:before="60"/>
      </w:pPr>
      <w:r>
        <w:rPr>
          <w:rFonts w:ascii="Arial" w:cs="Arial" w:eastAsia="Arial" w:hAnsi="Arial"/>
          <w:color w:val="333333"/>
          <w:sz w:val="20"/>
          <w:szCs w:val="20"/>
        </w:rPr>
        <w:t xml:space="preserve">Se configurará alerta automática para renovación con mínimo [60] días de anticipación al vencimiento</w:t>
      </w:r>
    </w:p>
    <w:p>
      <w:pPr>
        <w:pStyle w:val="ListParagraph"/>
        <w:numPr>
          <w:ilvl w:val="0"/>
          <w:numId w:val="2"/>
        </w:numPr>
        <w:spacing w:after="60" w:before="60"/>
      </w:pPr>
      <w:r>
        <w:rPr>
          <w:rFonts w:ascii="Arial" w:cs="Arial" w:eastAsia="Arial" w:hAnsi="Arial"/>
          <w:color w:val="333333"/>
          <w:sz w:val="20"/>
          <w:szCs w:val="20"/>
        </w:rPr>
        <w:t xml:space="preserve">Los datos WHOIS deben usar información de contacto corporativa (no personal) o servicio de privacidad WHOIS autorizado</w:t>
      </w:r>
    </w:p>
    <w:p>
      <w:pPr>
        <w:pStyle w:val="ListParagraph"/>
        <w:numPr>
          <w:ilvl w:val="0"/>
          <w:numId w:val="2"/>
        </w:numPr>
        <w:spacing w:after="60" w:before="60"/>
      </w:pPr>
      <w:r>
        <w:rPr>
          <w:rFonts w:ascii="Arial" w:cs="Arial" w:eastAsia="Arial" w:hAnsi="Arial"/>
          <w:color w:val="333333"/>
          <w:sz w:val="20"/>
          <w:szCs w:val="20"/>
        </w:rPr>
        <w:t xml:space="preserve">El acceso al panel de control del registrador debe estar protegido con autenticación multifactor (MFA)</w:t>
      </w:r>
    </w:p>
    <w:p>
      <w:pPr>
        <w:pStyle w:val="ListParagraph"/>
        <w:numPr>
          <w:ilvl w:val="0"/>
          <w:numId w:val="2"/>
        </w:numPr>
        <w:spacing w:after="60" w:before="60"/>
      </w:pPr>
      <w:r>
        <w:rPr>
          <w:rFonts w:ascii="Arial" w:cs="Arial" w:eastAsia="Arial" w:hAnsi="Arial"/>
          <w:color w:val="333333"/>
          <w:sz w:val="20"/>
          <w:szCs w:val="20"/>
        </w:rPr>
        <w:t xml:space="preserve">Está prohibido el registro de dominios corporativos en cuentas personales de empleados</w:t>
      </w:r>
    </w:p>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8. Respuesta a Incidentes DNS</w:t>
      </w:r>
    </w:p>
    <w:p>
      <w:pPr>
        <w:pStyle w:val="Heading2"/>
        <w:spacing w:after="120" w:before="280"/>
      </w:pPr>
      <w:r>
        <w:rPr>
          <w:rFonts w:ascii="Arial" w:cs="Arial" w:eastAsia="Arial" w:hAnsi="Arial"/>
          <w:b/>
          <w:bCs/>
          <w:color w:val="2E5FA3"/>
          <w:sz w:val="24"/>
          <w:szCs w:val="24"/>
        </w:rPr>
        <w:t xml:space="preserve">8.1 Clasificación de Incidentes DNS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400"/>
        <w:gridCol w:w="2760"/>
      </w:tblGrid>
      <w:tr>
        <w:trPr>
          <w:tblHeader/>
        </w:trPr>
        <w:tc>
          <w:tcPr>
            <w:tcW w:type="dxa" w:w="14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Severidad</w:t>
            </w:r>
          </w:p>
        </w:tc>
        <w:tc>
          <w:tcPr>
            <w:tcW w:type="dxa" w:w="28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Tipo de Incidente</w:t>
            </w:r>
          </w:p>
        </w:tc>
        <w:tc>
          <w:tcPr>
            <w:tcW w:type="dxa" w:w="24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Tiempo de Respuesta</w:t>
            </w:r>
          </w:p>
        </w:tc>
        <w:tc>
          <w:tcPr>
            <w:tcW w:type="dxa" w:w="27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Escalamiento</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CRÍTICA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Hijacking, Poisoning masivo, caída total del servicio DNS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&lt; 15 minutos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CISO + Gerencia + Proveedor ISP/DNS</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ALTA</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Tunneling activo, cambio de NS no autorizado, dominio vencido</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&lt; 1 hora</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Oficial de Seguridad + Administrador DNS</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MEDIA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Consultas masivas NXDOMAIN, subdominios no autorizados detectados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&lt; 4 horas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BAJA</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Registro DNS huérfano, TTL mal configurado, registro desactualizado</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&lt; 24 horas</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8.2 Plan de Respuesta ante DNS Hijacking</w:t>
      </w:r>
    </w:p>
    <w:p>
      <w:pPr>
        <w:pStyle w:val="ListParagraph"/>
        <w:numPr>
          <w:ilvl w:val="0"/>
          <w:numId w:val="3"/>
        </w:numPr>
        <w:spacing w:after="60" w:before="60"/>
      </w:pPr>
      <w:r>
        <w:rPr>
          <w:rFonts w:ascii="Arial" w:cs="Arial" w:eastAsia="Arial" w:hAnsi="Arial"/>
          <w:color w:val="333333"/>
          <w:sz w:val="20"/>
          <w:szCs w:val="20"/>
        </w:rPr>
        <w:t xml:space="preserve">Contención: Activar servidores DNS de respaldo y notificar al proveedor de hosting/registrador</w:t>
      </w:r>
    </w:p>
    <w:p>
      <w:pPr>
        <w:pStyle w:val="ListParagraph"/>
        <w:numPr>
          <w:ilvl w:val="0"/>
          <w:numId w:val="3"/>
        </w:numPr>
        <w:spacing w:after="60" w:before="60"/>
      </w:pPr>
      <w:r>
        <w:rPr>
          <w:rFonts w:ascii="Arial" w:cs="Arial" w:eastAsia="Arial" w:hAnsi="Arial"/>
          <w:color w:val="333333"/>
          <w:sz w:val="20"/>
          <w:szCs w:val="20"/>
        </w:rPr>
        <w:t xml:space="preserve">Evidencia: Capturar logs del servidor DNS afectado y estado de los registros antes de restaurar</w:t>
      </w:r>
    </w:p>
    <w:p>
      <w:pPr>
        <w:pStyle w:val="ListParagraph"/>
        <w:numPr>
          <w:ilvl w:val="0"/>
          <w:numId w:val="3"/>
        </w:numPr>
        <w:spacing w:after="60" w:before="60"/>
      </w:pPr>
      <w:r>
        <w:rPr>
          <w:rFonts w:ascii="Arial" w:cs="Arial" w:eastAsia="Arial" w:hAnsi="Arial"/>
          <w:color w:val="333333"/>
          <w:sz w:val="20"/>
          <w:szCs w:val="20"/>
        </w:rPr>
        <w:t xml:space="preserve">Restauración: Revertir registros DNS a la última configuración conocida y válida</w:t>
      </w:r>
    </w:p>
    <w:p>
      <w:pPr>
        <w:pStyle w:val="ListParagraph"/>
        <w:numPr>
          <w:ilvl w:val="0"/>
          <w:numId w:val="3"/>
        </w:numPr>
        <w:spacing w:after="60" w:before="60"/>
      </w:pPr>
      <w:r>
        <w:rPr>
          <w:rFonts w:ascii="Arial" w:cs="Arial" w:eastAsia="Arial" w:hAnsi="Arial"/>
          <w:color w:val="333333"/>
          <w:sz w:val="20"/>
          <w:szCs w:val="20"/>
        </w:rPr>
        <w:t xml:space="preserve">Comunicación: Notificar a usuarios y áreas afectadas; escalar según tabla de severidad</w:t>
      </w:r>
    </w:p>
    <w:p>
      <w:pPr>
        <w:pStyle w:val="ListParagraph"/>
        <w:numPr>
          <w:ilvl w:val="0"/>
          <w:numId w:val="3"/>
        </w:numPr>
        <w:spacing w:after="60" w:before="60"/>
      </w:pPr>
      <w:r>
        <w:rPr>
          <w:rFonts w:ascii="Arial" w:cs="Arial" w:eastAsia="Arial" w:hAnsi="Arial"/>
          <w:color w:val="333333"/>
          <w:sz w:val="20"/>
          <w:szCs w:val="20"/>
        </w:rPr>
        <w:t xml:space="preserve">Análisis: Determinar el vector de ataque (credenciales comprometidas, vulnerabilidad en software DNS, etc.)</w:t>
      </w:r>
    </w:p>
    <w:p>
      <w:pPr>
        <w:pStyle w:val="ListParagraph"/>
        <w:numPr>
          <w:ilvl w:val="0"/>
          <w:numId w:val="3"/>
        </w:numPr>
        <w:spacing w:after="60" w:before="60"/>
      </w:pPr>
      <w:r>
        <w:rPr>
          <w:rFonts w:ascii="Arial" w:cs="Arial" w:eastAsia="Arial" w:hAnsi="Arial"/>
          <w:color w:val="333333"/>
          <w:sz w:val="20"/>
          <w:szCs w:val="20"/>
        </w:rPr>
        <w:t xml:space="preserve">Recuperación: Cambiar credenciales del registrador, revisar ACLs y configurar DNSSEC si no estaba activo</w:t>
      </w:r>
    </w:p>
    <w:p>
      <w:pPr>
        <w:pStyle w:val="ListParagraph"/>
        <w:numPr>
          <w:ilvl w:val="0"/>
          <w:numId w:val="3"/>
        </w:numPr>
        <w:spacing w:after="60" w:before="60"/>
      </w:pPr>
      <w:r>
        <w:rPr>
          <w:rFonts w:ascii="Arial" w:cs="Arial" w:eastAsia="Arial" w:hAnsi="Arial"/>
          <w:color w:val="333333"/>
          <w:sz w:val="20"/>
          <w:szCs w:val="20"/>
        </w:rPr>
        <w:t xml:space="preserve">Lecciones aprendidas: Documentar el incidente y actualizar esta política si aplica</w:t>
      </w:r>
    </w:p>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9. Auditoría y Verificación de Cumplimiento</w:t>
      </w:r>
    </w:p>
    <w:p>
      <w:pPr>
        <w:pStyle w:val="Heading2"/>
        <w:spacing w:after="120" w:before="280"/>
      </w:pPr>
      <w:r>
        <w:rPr>
          <w:rFonts w:ascii="Arial" w:cs="Arial" w:eastAsia="Arial" w:hAnsi="Arial"/>
          <w:b/>
          <w:bCs/>
          <w:color w:val="2E5FA3"/>
          <w:sz w:val="24"/>
          <w:szCs w:val="24"/>
        </w:rPr>
        <w:t xml:space="preserve">9.1 Controles de Verificación Periódica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1760"/>
        <w:gridCol w:w="2200"/>
      </w:tblGrid>
      <w:tr>
        <w:trPr>
          <w:tblHeader/>
        </w:trPr>
        <w:tc>
          <w:tcPr>
            <w:tcW w:type="dxa" w:w="34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Control a Verificar</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Frecuencia</w:t>
            </w:r>
          </w:p>
        </w:tc>
        <w:tc>
          <w:tcPr>
            <w:tcW w:type="dxa" w:w="17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Responsable</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Herramienta / Método</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Configuración de servidores DNS contra baseline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Trimestral</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Seguridad</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Nmap, dig, nslookup</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Validez de firmas DNSSEC</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Mensual</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dnssec-verify, zonemaster.net</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Registros SPF, DKIM, DMARC, CAA en todos los dominios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Mensual</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Seguridad / TI</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MXToolbox, mail-tester.com</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Inventario de dominios (vencimientos, WHOIS)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Mensual</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Administrador DNS</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Revisión manual en registrador</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Revisión de logs DNS en SIEM por anomalías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Semanal</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Oficial de Seguridad</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SIEM corporativo</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Prueba de transferencia de zona no autorizada</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Semestral</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Seguridad</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dig AXFR desde IP externa</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Revisión completa de la política DNS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Anual</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CISO / Propietario Política</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Revisión documental + pruebas técnicas</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9.2 Registro de Auditorías</w:t>
      </w:r>
    </w:p>
    <w:p>
      <w:pPr>
        <w:spacing w:after="80" w:before="80"/>
      </w:pPr>
      <w:r>
        <w:rPr>
          <w:rFonts w:ascii="Arial" w:cs="Arial" w:eastAsia="Arial" w:hAnsi="Arial"/>
          <w:color w:val="333333"/>
          <w:sz w:val="20"/>
          <w:szCs w:val="20"/>
        </w:rPr>
        <w:t xml:space="preserve">Los resultados de cada auditoría deben documentarse en el [nombre del sistema / registro de auditoría de TI] y conservarse durante [3] años. Los hallazgos que representen incumplimiento de esta política deben tratarse como no conformidades dentro del SGSI de la organización.</w:t>
      </w:r>
    </w:p>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10. Excepciones, Sanciones y Vigencia</w:t>
      </w:r>
    </w:p>
    <w:p>
      <w:pPr>
        <w:pStyle w:val="Heading2"/>
        <w:spacing w:after="120" w:before="280"/>
      </w:pPr>
      <w:r>
        <w:rPr>
          <w:rFonts w:ascii="Arial" w:cs="Arial" w:eastAsia="Arial" w:hAnsi="Arial"/>
          <w:b/>
          <w:bCs/>
          <w:color w:val="2E5FA3"/>
          <w:sz w:val="24"/>
          <w:szCs w:val="24"/>
        </w:rPr>
        <w:t xml:space="preserve">10.1 Gestión de Excepciones</w:t>
      </w:r>
    </w:p>
    <w:p>
      <w:pPr>
        <w:spacing w:after="80" w:before="80"/>
      </w:pPr>
      <w:r>
        <w:rPr>
          <w:rFonts w:ascii="Arial" w:cs="Arial" w:eastAsia="Arial" w:hAnsi="Arial"/>
          <w:color w:val="333333"/>
          <w:sz w:val="20"/>
          <w:szCs w:val="20"/>
        </w:rPr>
        <w:t xml:space="preserve">Cualquier excepción temporal a los controles definidos en esta política debe:</w:t>
      </w:r>
    </w:p>
    <w:p>
      <w:pPr>
        <w:pStyle w:val="ListParagraph"/>
        <w:numPr>
          <w:ilvl w:val="0"/>
          <w:numId w:val="2"/>
        </w:numPr>
        <w:spacing w:after="60" w:before="60"/>
      </w:pPr>
      <w:r>
        <w:rPr>
          <w:rFonts w:ascii="Arial" w:cs="Arial" w:eastAsia="Arial" w:hAnsi="Arial"/>
          <w:color w:val="333333"/>
          <w:sz w:val="20"/>
          <w:szCs w:val="20"/>
        </w:rPr>
        <w:t xml:space="preserve">Ser solicitada por escrito por el responsable del área al [Oficial de Seguridad / CISO]</w:t>
      </w:r>
    </w:p>
    <w:p>
      <w:pPr>
        <w:pStyle w:val="ListParagraph"/>
        <w:numPr>
          <w:ilvl w:val="0"/>
          <w:numId w:val="2"/>
        </w:numPr>
        <w:spacing w:after="60" w:before="60"/>
      </w:pPr>
      <w:r>
        <w:rPr>
          <w:rFonts w:ascii="Arial" w:cs="Arial" w:eastAsia="Arial" w:hAnsi="Arial"/>
          <w:color w:val="333333"/>
          <w:sz w:val="20"/>
          <w:szCs w:val="20"/>
        </w:rPr>
        <w:t xml:space="preserve">Incluir justificación técnica o de negocio, riesgos identificados y controles compensatorios propuestos</w:t>
      </w:r>
    </w:p>
    <w:p>
      <w:pPr>
        <w:pStyle w:val="ListParagraph"/>
        <w:numPr>
          <w:ilvl w:val="0"/>
          <w:numId w:val="2"/>
        </w:numPr>
        <w:spacing w:after="60" w:before="60"/>
      </w:pPr>
      <w:r>
        <w:rPr>
          <w:rFonts w:ascii="Arial" w:cs="Arial" w:eastAsia="Arial" w:hAnsi="Arial"/>
          <w:color w:val="333333"/>
          <w:sz w:val="20"/>
          <w:szCs w:val="20"/>
        </w:rPr>
        <w:t xml:space="preserve">Tener un plazo máximo de duración de [90] días, renovable con nueva aprobación</w:t>
      </w:r>
    </w:p>
    <w:p>
      <w:pPr>
        <w:pStyle w:val="ListParagraph"/>
        <w:numPr>
          <w:ilvl w:val="0"/>
          <w:numId w:val="2"/>
        </w:numPr>
        <w:spacing w:after="60" w:before="60"/>
      </w:pPr>
      <w:r>
        <w:rPr>
          <w:rFonts w:ascii="Arial" w:cs="Arial" w:eastAsia="Arial" w:hAnsi="Arial"/>
          <w:color w:val="333333"/>
          <w:sz w:val="20"/>
          <w:szCs w:val="20"/>
        </w:rPr>
        <w:t xml:space="preserve">Quedar registrada en el log de excepciones de seguridad</w:t>
      </w:r>
    </w:p>
    <w:p>
      <w:pPr>
        <w:spacing w:after="80" w:before="80"/>
      </w:pPr>
      <w:r>
        <w:t xml:space="preserve"/>
      </w:r>
    </w:p>
    <w:p>
      <w:pPr>
        <w:pStyle w:val="Heading2"/>
        <w:spacing w:after="120" w:before="280"/>
      </w:pPr>
      <w:r>
        <w:rPr>
          <w:rFonts w:ascii="Arial" w:cs="Arial" w:eastAsia="Arial" w:hAnsi="Arial"/>
          <w:b/>
          <w:bCs/>
          <w:color w:val="2E5FA3"/>
          <w:sz w:val="24"/>
          <w:szCs w:val="24"/>
        </w:rPr>
        <w:t xml:space="preserve">10.2 Incumplimientos y Sanciones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8D7DA" w:sz="1"/>
              <w:left w:val="single" w:color="F8D7DA" w:sz="1"/>
              <w:bottom w:val="single" w:color="F8D7DA" w:sz="1"/>
              <w:right w:val="single" w:color="F8D7DA" w:sz="1"/>
            </w:tcBorders>
            <w:shd w:fill="F8D7DA" w:val="clear"/>
            <w:tcMar>
              <w:top w:type="dxa" w:w="100"/>
              <w:left w:type="dxa" w:w="150"/>
              <w:bottom w:type="dxa" w:w="100"/>
              <w:right w:type="dxa" w:w="150"/>
            </w:tcMar>
          </w:tcPr>
          <w:p>
            <w:r>
              <w:rPr>
                <w:rFonts w:ascii="Arial" w:cs="Arial" w:eastAsia="Arial" w:hAnsi="Arial"/>
                <w:b w:val="false"/>
                <w:bCs w:val="false"/>
                <w:color w:val="7B0A0A"/>
                <w:sz w:val="20"/>
                <w:szCs w:val="20"/>
              </w:rPr>
              <w:t xml:space="preserve">El incumplimiento de esta política puede resultar en brechas de seguridad, pérdida de datos, interrupciones del servicio y consecuencias regulatorias. Los incumplimientos serán tratados conforme al reglamento interno de la organización y pueden derivar en medidas disciplinarias.</w:t>
            </w:r>
          </w:p>
        </w:tc>
      </w:tr>
    </w:tbl>
    <w:p>
      <w:pPr>
        <w:spacing w:after="80" w:before="80"/>
      </w:pPr>
      <w:r>
        <w:t xml:space="preserve"/>
      </w:r>
    </w:p>
    <w:p>
      <w:pPr>
        <w:pStyle w:val="Heading2"/>
        <w:spacing w:after="120" w:before="280"/>
      </w:pPr>
      <w:r>
        <w:rPr>
          <w:rFonts w:ascii="Arial" w:cs="Arial" w:eastAsia="Arial" w:hAnsi="Arial"/>
          <w:b/>
          <w:bCs/>
          <w:color w:val="2E5FA3"/>
          <w:sz w:val="24"/>
          <w:szCs w:val="24"/>
        </w:rPr>
        <w:t xml:space="preserve">10.3 Vigencia y Revisión</w:t>
      </w:r>
    </w:p>
    <w:p>
      <w:pPr>
        <w:spacing w:after="80" w:before="80"/>
      </w:pPr>
      <w:r>
        <w:rPr>
          <w:rFonts w:ascii="Arial" w:cs="Arial" w:eastAsia="Arial" w:hAnsi="Arial"/>
          <w:color w:val="333333"/>
          <w:sz w:val="20"/>
          <w:szCs w:val="20"/>
        </w:rPr>
        <w:t xml:space="preserve">Esta política entra en vigor a partir de su fecha de aprobación y tiene vigencia de [1] año. Debe ser revisada anualmente o ante cualquiera de los siguientes eventos:</w:t>
      </w:r>
    </w:p>
    <w:p>
      <w:pPr>
        <w:pStyle w:val="ListParagraph"/>
        <w:numPr>
          <w:ilvl w:val="0"/>
          <w:numId w:val="2"/>
        </w:numPr>
        <w:spacing w:after="60" w:before="60"/>
      </w:pPr>
      <w:r>
        <w:rPr>
          <w:rFonts w:ascii="Arial" w:cs="Arial" w:eastAsia="Arial" w:hAnsi="Arial"/>
          <w:color w:val="333333"/>
          <w:sz w:val="20"/>
          <w:szCs w:val="20"/>
        </w:rPr>
        <w:t xml:space="preserve">Cambio significativo en la infraestructura DNS o arquitectura de red</w:t>
      </w:r>
    </w:p>
    <w:p>
      <w:pPr>
        <w:pStyle w:val="ListParagraph"/>
        <w:numPr>
          <w:ilvl w:val="0"/>
          <w:numId w:val="2"/>
        </w:numPr>
        <w:spacing w:after="60" w:before="60"/>
      </w:pPr>
      <w:r>
        <w:rPr>
          <w:rFonts w:ascii="Arial" w:cs="Arial" w:eastAsia="Arial" w:hAnsi="Arial"/>
          <w:color w:val="333333"/>
          <w:sz w:val="20"/>
          <w:szCs w:val="20"/>
        </w:rPr>
        <w:t xml:space="preserve">Detección de un incidente de seguridad relacionado con DNS</w:t>
      </w:r>
    </w:p>
    <w:p>
      <w:pPr>
        <w:pStyle w:val="ListParagraph"/>
        <w:numPr>
          <w:ilvl w:val="0"/>
          <w:numId w:val="2"/>
        </w:numPr>
        <w:spacing w:after="60" w:before="60"/>
      </w:pPr>
      <w:r>
        <w:rPr>
          <w:rFonts w:ascii="Arial" w:cs="Arial" w:eastAsia="Arial" w:hAnsi="Arial"/>
          <w:color w:val="333333"/>
          <w:sz w:val="20"/>
          <w:szCs w:val="20"/>
        </w:rPr>
        <w:t xml:space="preserve">Publicación de nuevos requerimientos normativos (ISO, PCI DSS, reguladores sectoriales)</w:t>
      </w:r>
    </w:p>
    <w:p>
      <w:pPr>
        <w:pStyle w:val="ListParagraph"/>
        <w:numPr>
          <w:ilvl w:val="0"/>
          <w:numId w:val="2"/>
        </w:numPr>
        <w:spacing w:after="60" w:before="60"/>
      </w:pPr>
      <w:r>
        <w:rPr>
          <w:rFonts w:ascii="Arial" w:cs="Arial" w:eastAsia="Arial" w:hAnsi="Arial"/>
          <w:color w:val="333333"/>
          <w:sz w:val="20"/>
          <w:szCs w:val="20"/>
        </w:rPr>
        <w:t xml:space="preserve">Incorporación de nuevos proveedores o dominios críticos</w:t>
      </w:r>
    </w:p>
    <w:p>
      <w:pPr>
        <w:spacing w:after="80" w:before="80"/>
      </w:pPr>
      <w:r>
        <w:t xml:space="preserve"/>
      </w:r>
    </w:p>
    <w:p>
      <w:pPr>
        <w:spacing w:after="0" w:before="0"/>
      </w:pPr>
      <w:r>
        <w:br w:type="page"/>
      </w:r>
    </w:p>
    <w:p>
      <w:pPr>
        <w:pStyle w:val="Heading1"/>
        <w:pBdr>
          <w:bottom w:val="single" w:color="2E5FA3" w:sz="6" w:space="4"/>
        </w:pBdr>
        <w:spacing w:after="180" w:before="360"/>
      </w:pPr>
      <w:r>
        <w:rPr>
          <w:rFonts w:ascii="Arial" w:cs="Arial" w:eastAsia="Arial" w:hAnsi="Arial"/>
          <w:b/>
          <w:bCs/>
          <w:color w:val="1B3A6B"/>
          <w:sz w:val="28"/>
          <w:szCs w:val="28"/>
        </w:rPr>
        <w:t xml:space="preserve">Anexo A –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Término</w:t>
            </w:r>
          </w:p>
        </w:tc>
        <w:tc>
          <w:tcPr>
            <w:tcW w:type="dxa" w:w="6760"/>
            <w:tcBorders>
              <w:top w:val="single" w:color="1B3A6B" w:sz="1"/>
              <w:left w:val="single" w:color="1B3A6B" w:sz="1"/>
              <w:bottom w:val="single" w:color="1B3A6B" w:sz="1"/>
              <w:right w:val="single" w:color="1B3A6B" w:sz="1"/>
            </w:tcBorders>
            <w:shd w:fill="1B3A6B" w:val="clear"/>
            <w:tcMar>
              <w:top w:type="dxa" w:w="100"/>
              <w:left w:type="dxa" w:w="150"/>
              <w:bottom w:type="dxa" w:w="100"/>
              <w:right w:type="dxa" w:w="150"/>
            </w:tcMar>
            <w:vAlign w:val="center"/>
          </w:tcPr>
          <w:p>
            <w:pPr>
              <w:jc w:val="center"/>
            </w:pPr>
            <w:r>
              <w:rPr>
                <w:rFonts w:ascii="Arial" w:cs="Arial" w:eastAsia="Arial" w:hAnsi="Arial"/>
                <w:b/>
                <w:bCs/>
                <w:color w:val="FFFFFF"/>
                <w:sz w:val="18"/>
                <w:szCs w:val="18"/>
              </w:rPr>
              <w:t xml:space="preserve">Definición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(Domain Name System)</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Sistema jerárquico que traduce nombres de dominio legibles por humanos en direcciones IP utilizables por los computadores</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DNSSEC</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Extensiones de seguridad para DNS que agregan firma criptográfica a los registros, previniendo manipulación de respuestas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Hijacking</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Ataque que redirige las consultas DNS hacia servidores maliciosos sin conocimiento del usuario</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DNS Tunneling</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Técnica de ataque que encapsula tráfico malicioso dentro de consultas y respuestas DNS para evadir controles de red</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Cache Poisoning</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Ataque que inserta registros DNS falsos en la caché de un resolvedor, redirigiendo usuarios a sitios fraudulentos</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RPZ (Response Policy Zone)</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Mecanismo que permite a los servidores DNS bloquear o redirigir consultas hacia dominios maliciosos conocidos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SPF</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Sender Policy Framework: registro TXT que indica qué servidores están autorizados a enviar correo en nombre de un dominio</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DKIM</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DomainKeys Identified Mail: mecanismo que firma criptográficamente el correo saliente para verificar su autenticidad</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DMARC</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Domain-based Message Authentication: política que indica qué hacer con correos que no superan validación SPF o DKIM</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CAA</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Certification Authority Authorization: registro que limita qué autoridades certificadoras pueden emitir SSL/TLS para el dominio</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KSK / ZSK</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Key Signing Key / Zone Signing Key: tipos de claves criptográficas utilizadas en la implementación de DNSSEC</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TTL (Time To Live)</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Tiempo en segundos que un registro DNS puede ser almacenado en caché antes de consultar nuevamente al servidor autoritativo</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Zona DNS</w:t>
            </w:r>
          </w:p>
        </w:tc>
        <w:tc>
          <w:tcPr>
            <w:tcW w:type="dxa" w:w="6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i w:val="false"/>
                <w:iCs w:val="false"/>
                <w:color w:val="333333"/>
                <w:sz w:val="20"/>
                <w:szCs w:val="20"/>
              </w:rPr>
              <w:t xml:space="preserve">Porción del espacio de nombres DNS que un administrador gestiona en un servidor DNS autoritativo</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AXFR / IXFR</w:t>
            </w:r>
          </w:p>
        </w:tc>
        <w:tc>
          <w:tcPr>
            <w:tcW w:type="dxa" w:w="6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i w:val="false"/>
                <w:iCs w:val="false"/>
                <w:color w:val="333333"/>
                <w:sz w:val="20"/>
                <w:szCs w:val="20"/>
              </w:rPr>
              <w:t xml:space="preserve">Tipos de transferencia de zona DNS: AXFR transfiere la zona completa, IXFR solo los cambios incrementales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2"/>
      </w:pBdr>
      <w:tabs>
        <w:tab w:val="center" w:pos="4680"/>
        <w:tab w:val="right" w:pos="9026"/>
      </w:tabs>
      <w:spacing w:after="0" w:before="80"/>
    </w:pPr>
    <w:r>
      <w:rPr>
        <w:rFonts w:ascii="Arial" w:cs="Arial" w:eastAsia="Arial" w:hAnsi="Arial"/>
        <w:color w:val="777777"/>
        <w:sz w:val="16"/>
        <w:szCs w:val="16"/>
      </w:rPr>
      <w:t xml:space="preserve">Clasificación: USO INTERNO | v1.0</w:t>
    </w:r>
    <w:r>
      <w:rPr>
        <w:rFonts w:ascii="Arial" w:cs="Arial" w:eastAsia="Arial" w:hAnsi="Arial"/>
        <w:sz w:val="16"/>
        <w:szCs w:val="16"/>
      </w:rPr>
      <w:t xml:space="preserv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777777"/>
        <w:sz w:val="16"/>
        <w:szCs w:val="16"/>
      </w:rPr>
      <w:t xml:space="preserve">	ISO 27001:2022 | PCI DSS v4.0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2"/>
      </w:pBdr>
      <w:tabs>
        <w:tab w:val="right" w:pos="9026"/>
      </w:tabs>
      <w:spacing w:after="80" w:before="0"/>
    </w:pPr>
    <w:r>
      <w:rPr>
        <w:rFonts w:ascii="Arial" w:cs="Arial" w:eastAsia="Arial" w:hAnsi="Arial"/>
        <w:b/>
        <w:bCs/>
        <w:color w:val="1B3A6B"/>
        <w:sz w:val="16"/>
        <w:szCs w:val="16"/>
      </w:rPr>
      <w:t xml:space="preserve">POLÍTICA DE GESTIÓN DNS</w:t>
    </w:r>
    <w:r>
      <w:rPr>
        <w:rFonts w:ascii="Arial" w:cs="Arial" w:eastAsia="Arial" w:hAnsi="Arial"/>
        <w:color w:val="777777"/>
        <w:sz w:val="16"/>
        <w:szCs w:val="16"/>
      </w:rPr>
      <w:t xml:space="preserve">	[NOMBRE DE LA EMPRESA]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6B"/>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E5FA3"/>
      <w:sz w:val="24"/>
      <w:szCs w:val="24"/>
    </w:rPr>
  </w:style>
  <w:style w:type="paragraph" w:styleId="Heading3">
    <w:name w:val="Heading 3"/>
    <w:basedOn w:val="Normal"/>
    <w:next w:val="Normal"/>
    <w:qFormat/>
    <w:pPr>
      <w:spacing w:after="80" w:before="200"/>
      <w:outlineLvl w:val="2"/>
    </w:pPr>
    <w:rPr>
      <w:rFonts w:ascii="Arial" w:cs="Arial" w:eastAsia="Arial" w:hAnsi="Arial"/>
      <w:b/>
      <w:bCs/>
      <w:color w:val="1B3A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2026-05-01T02:06:51.054Z</dcterms:created>
  <dcterms:modified xsi:type="dcterms:W3CDTF">2026-05-01T02:06:51.055Z</dcterms:modified>
</cp:coreProperties>
</file>

<file path=docProps/custom.xml><?xml version="1.0" encoding="utf-8"?>
<Properties xmlns="http://schemas.openxmlformats.org/officeDocument/2006/custom-properties" xmlns:vt="http://schemas.openxmlformats.org/officeDocument/2006/docPropsVTypes"/>
</file>