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69C5" w14:textId="77777777" w:rsidR="00667ADA" w:rsidRDefault="00DC0BB2">
      <w:pPr>
        <w:spacing w:after="100"/>
        <w:jc w:val="center"/>
      </w:pPr>
      <w:r>
        <w:rPr>
          <w:rFonts w:ascii="Calibri" w:eastAsia="Calibri" w:hAnsi="Calibri" w:cs="Calibri"/>
          <w:b/>
          <w:bCs/>
          <w:i/>
          <w:iCs/>
          <w:color w:val="333333"/>
          <w:sz w:val="22"/>
          <w:szCs w:val="22"/>
        </w:rPr>
        <w:t>Ciberprotección para PyMES. Guía Práctica.</w:t>
      </w:r>
    </w:p>
    <w:p w14:paraId="396569C6" w14:textId="77777777" w:rsidR="00667ADA" w:rsidRDefault="00DC0BB2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Capítulo 9 — Aplicaciones</w:t>
      </w:r>
    </w:p>
    <w:p w14:paraId="396569C7" w14:textId="77777777" w:rsidR="00667ADA" w:rsidRDefault="00DC0BB2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POLÍTICA DE DESARROLLO SEGURO</w:t>
      </w:r>
    </w:p>
    <w:p w14:paraId="396569C8" w14:textId="77777777" w:rsidR="00667ADA" w:rsidRDefault="00DC0BB2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Plantilla 9.4</w:t>
      </w:r>
    </w:p>
    <w:p w14:paraId="396569C9" w14:textId="77777777" w:rsidR="00667ADA" w:rsidRDefault="00DC0BB2">
      <w:pPr>
        <w:spacing w:after="100"/>
        <w:jc w:val="center"/>
      </w:pPr>
      <w:r>
        <w:rPr>
          <w:rFonts w:ascii="Georgia" w:eastAsia="Georgia" w:hAnsi="Georgia" w:cs="Georgia"/>
          <w:color w:val="333333"/>
          <w:sz w:val="22"/>
          <w:szCs w:val="22"/>
        </w:rPr>
        <w:t>Versión 1.0</w:t>
      </w:r>
    </w:p>
    <w:p w14:paraId="396569CA" w14:textId="77777777" w:rsidR="00667ADA" w:rsidRDefault="00DC0BB2">
      <w:pPr>
        <w:spacing w:after="300"/>
        <w:jc w:val="center"/>
      </w:pP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[Nombre de la empresa]</w:t>
      </w:r>
    </w:p>
    <w:p w14:paraId="396569CB" w14:textId="77777777" w:rsidR="00667ADA" w:rsidRDefault="00DC0BB2">
      <w:pPr>
        <w:spacing w:after="100"/>
        <w:jc w:val="center"/>
      </w:pPr>
      <w:r>
        <w:rPr>
          <w:rFonts w:ascii="Georgia" w:eastAsia="Georgia" w:hAnsi="Georgia" w:cs="Georgia"/>
          <w:color w:val="333333"/>
        </w:rPr>
        <w:t>Fecha de aprobación: ____________________________</w:t>
      </w:r>
    </w:p>
    <w:p w14:paraId="396569CC" w14:textId="77777777" w:rsidR="00667ADA" w:rsidRDefault="00DC0BB2">
      <w:pPr>
        <w:spacing w:after="500"/>
        <w:jc w:val="center"/>
      </w:pPr>
      <w:r>
        <w:rPr>
          <w:rFonts w:ascii="Georgia" w:eastAsia="Georgia" w:hAnsi="Georgia" w:cs="Georgia"/>
          <w:color w:val="333333"/>
        </w:rPr>
        <w:t>Próxima revisión: ____________________________</w:t>
      </w:r>
    </w:p>
    <w:p w14:paraId="396569CD" w14:textId="77777777" w:rsidR="00667ADA" w:rsidRDefault="00DC0BB2">
      <w:pPr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Control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800"/>
        <w:gridCol w:w="3360"/>
      </w:tblGrid>
      <w:tr w:rsidR="00667ADA" w14:paraId="396569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CE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Versión</w:t>
            </w:r>
          </w:p>
        </w:tc>
        <w:tc>
          <w:tcPr>
            <w:tcW w:w="18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CF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Fecha</w:t>
            </w:r>
          </w:p>
        </w:tc>
        <w:tc>
          <w:tcPr>
            <w:tcW w:w="28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D0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Autor</w:t>
            </w:r>
          </w:p>
        </w:tc>
        <w:tc>
          <w:tcPr>
            <w:tcW w:w="33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D1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Descripción del cambio</w:t>
            </w:r>
          </w:p>
        </w:tc>
      </w:tr>
      <w:tr w:rsidR="00667ADA" w14:paraId="396569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3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4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[Fecha]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5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[Responsable TI]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6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Versión inicial</w:t>
            </w:r>
          </w:p>
        </w:tc>
      </w:tr>
      <w:tr w:rsidR="00667ADA" w14:paraId="396569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8" w14:textId="77777777" w:rsidR="00667ADA" w:rsidRDefault="00667ADA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9" w14:textId="77777777" w:rsidR="00667ADA" w:rsidRDefault="00667ADA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A" w14:textId="77777777" w:rsidR="00667ADA" w:rsidRDefault="00667ADA"/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DB" w14:textId="77777777" w:rsidR="00667ADA" w:rsidRDefault="00667ADA"/>
        </w:tc>
      </w:tr>
    </w:tbl>
    <w:p w14:paraId="396569DD" w14:textId="77777777" w:rsidR="00667ADA" w:rsidRDefault="00DC0BB2">
      <w:pPr>
        <w:spacing w:before="300" w:after="12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667ADA" w14:paraId="39656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DE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Rol</w:t>
            </w:r>
          </w:p>
        </w:tc>
        <w:tc>
          <w:tcPr>
            <w:tcW w:w="318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DF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Nombre</w:t>
            </w:r>
          </w:p>
        </w:tc>
        <w:tc>
          <w:tcPr>
            <w:tcW w:w="318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E0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Firma y fecha</w:t>
            </w:r>
          </w:p>
        </w:tc>
      </w:tr>
      <w:tr w:rsidR="00667ADA" w14:paraId="39656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E2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Responsable de TI</w:t>
            </w:r>
          </w:p>
        </w:tc>
        <w:tc>
          <w:tcPr>
            <w:tcW w:w="3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E3" w14:textId="77777777" w:rsidR="00667ADA" w:rsidRDefault="00667ADA"/>
        </w:tc>
        <w:tc>
          <w:tcPr>
            <w:tcW w:w="3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E4" w14:textId="77777777" w:rsidR="00667ADA" w:rsidRDefault="00667ADA"/>
        </w:tc>
      </w:tr>
      <w:tr w:rsidR="00667ADA" w14:paraId="396569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E6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 xml:space="preserve">Gerente General /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Director</w:t>
            </w:r>
            <w:proofErr w:type="gramEnd"/>
          </w:p>
        </w:tc>
        <w:tc>
          <w:tcPr>
            <w:tcW w:w="3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E7" w14:textId="77777777" w:rsidR="00667ADA" w:rsidRDefault="00667ADA"/>
        </w:tc>
        <w:tc>
          <w:tcPr>
            <w:tcW w:w="3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E8" w14:textId="77777777" w:rsidR="00667ADA" w:rsidRDefault="00667ADA"/>
        </w:tc>
      </w:tr>
    </w:tbl>
    <w:p w14:paraId="396569EA" w14:textId="77777777" w:rsidR="00667ADA" w:rsidRDefault="00DC0BB2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1. Propósito y alcance</w:t>
      </w:r>
    </w:p>
    <w:p w14:paraId="396569EB" w14:textId="77777777" w:rsidR="00667ADA" w:rsidRDefault="00DC0BB2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Esta política establece los lineamientos institucionales obligatorios que deben regir el ciclo de construcción de software cuando la aplicación corresponde a desarrollo propio, con el fin de reducir la probabilidad de introducir vulnerabilidades explotables en el código antes de su puesta en producción.</w:t>
      </w:r>
    </w:p>
    <w:p w14:paraId="396569EC" w14:textId="77777777" w:rsidR="00667ADA" w:rsidRDefault="00DC0BB2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Esta política aplica a todo desarrollo de software realizado internamente o por terceros contratados específicamente para la empresa, incluyendo aplicaciones web, integraciones a la medida y automatizaciones internas, independientemente del lenguaje de programación o la plataforma de despliegue utilizada.</w:t>
      </w:r>
    </w:p>
    <w:p w14:paraId="396569ED" w14:textId="77777777" w:rsidR="00667ADA" w:rsidRDefault="00DC0BB2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2. Principios de desarrollo seguro</w:t>
      </w:r>
    </w:p>
    <w:p w14:paraId="396569EE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Ninguna entrada de usuario debe considerarse confiable hasta ser validada en el servidor contra el tipo de dato, formato y rango esperado.</w:t>
      </w:r>
    </w:p>
    <w:p w14:paraId="396569EF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lastRenderedPageBreak/>
        <w:t>Toda información mostrada al usuario que provenga de la base de datos o de una entrada externa debe codificarse conforme al contexto de salida correspondiente (HTML, JavaScript, atributos de URL).</w:t>
      </w:r>
    </w:p>
    <w:p w14:paraId="396569F0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 xml:space="preserve">El acceso a bases de datos debe realizarse exclusivamente mediante consultas parametrizadas o un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Object-Relational</w:t>
      </w:r>
      <w:proofErr w:type="spellEnd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Mapper</w:t>
      </w:r>
      <w:proofErr w:type="spellEnd"/>
      <w:r>
        <w:rPr>
          <w:rFonts w:ascii="Georgia" w:eastAsia="Georgia" w:hAnsi="Georgia" w:cs="Georgia"/>
          <w:color w:val="333333"/>
          <w:sz w:val="22"/>
          <w:szCs w:val="22"/>
        </w:rPr>
        <w:t xml:space="preserve"> (ORM); queda prohibida la concatenación directa de cadenas de texto con datos de entrada.</w:t>
      </w:r>
    </w:p>
    <w:p w14:paraId="396569F1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Ninguna credencial, llave de acceso (</w:t>
      </w: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 xml:space="preserve">API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key</w:t>
      </w:r>
      <w:proofErr w:type="spellEnd"/>
      <w:r>
        <w:rPr>
          <w:rFonts w:ascii="Georgia" w:eastAsia="Georgia" w:hAnsi="Georgia" w:cs="Georgia"/>
          <w:color w:val="333333"/>
          <w:sz w:val="22"/>
          <w:szCs w:val="22"/>
        </w:rPr>
        <w:t>) o secreto de conexión puede quedar escrito directamente en el código fuente o en archivos de configuración versionados; debe utilizarse un mecanismo de gestión de secretos o variables de entorno excluidas del control de versiones.</w:t>
      </w:r>
    </w:p>
    <w:p w14:paraId="396569F2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Ningún cambio de código puede integrarse a la rama principal sin haber sido revisado por al menos un desarrollador distinto de quien lo escribió.</w:t>
      </w:r>
    </w:p>
    <w:p w14:paraId="396569F3" w14:textId="77777777" w:rsidR="00667ADA" w:rsidRDefault="00DC0BB2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3. Gestión de hallazgos de seguridad en código</w:t>
      </w:r>
    </w:p>
    <w:p w14:paraId="396569F4" w14:textId="77777777" w:rsidR="00667ADA" w:rsidRDefault="00DC0BB2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 xml:space="preserve">El </w:t>
      </w:r>
      <w:proofErr w:type="gramStart"/>
      <w:r>
        <w:rPr>
          <w:rFonts w:ascii="Georgia" w:eastAsia="Georgia" w:hAnsi="Georgia" w:cs="Georgia"/>
          <w:color w:val="333333"/>
          <w:sz w:val="22"/>
          <w:szCs w:val="22"/>
        </w:rPr>
        <w:t>Responsable</w:t>
      </w:r>
      <w:proofErr w:type="gramEnd"/>
      <w:r>
        <w:rPr>
          <w:rFonts w:ascii="Georgia" w:eastAsia="Georgia" w:hAnsi="Georgia" w:cs="Georgia"/>
          <w:color w:val="333333"/>
          <w:sz w:val="22"/>
          <w:szCs w:val="22"/>
        </w:rPr>
        <w:t xml:space="preserve"> de TI —o el responsable técnico designado para el desarrollo— debe mantener un registro de los hallazgos identificados mediante análisis estático de código (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Static</w:t>
      </w:r>
      <w:proofErr w:type="spellEnd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Application</w:t>
      </w:r>
      <w:proofErr w:type="spellEnd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 xml:space="preserve"> Security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Testing</w:t>
      </w:r>
      <w:proofErr w:type="spellEnd"/>
      <w:r>
        <w:rPr>
          <w:rFonts w:ascii="Georgia" w:eastAsia="Georgia" w:hAnsi="Georgia" w:cs="Georgia"/>
          <w:color w:val="333333"/>
          <w:sz w:val="22"/>
          <w:szCs w:val="22"/>
        </w:rPr>
        <w:t>, SAST) u otras revisiones de seguridad, con al menos la siguiente información: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558"/>
        <w:gridCol w:w="1739"/>
        <w:gridCol w:w="1499"/>
        <w:gridCol w:w="1497"/>
        <w:gridCol w:w="1508"/>
      </w:tblGrid>
      <w:tr w:rsidR="00667ADA" w14:paraId="396569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F5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Aplicación</w:t>
            </w:r>
          </w:p>
        </w:tc>
        <w:tc>
          <w:tcPr>
            <w:tcW w:w="15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F6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Fecha de análisis</w:t>
            </w:r>
          </w:p>
        </w:tc>
        <w:tc>
          <w:tcPr>
            <w:tcW w:w="174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F7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Herramienta utilizada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F8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Severidad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F9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Estado</w:t>
            </w:r>
          </w:p>
        </w:tc>
        <w:tc>
          <w:tcPr>
            <w:tcW w:w="15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9FA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Responsable</w:t>
            </w:r>
          </w:p>
        </w:tc>
      </w:tr>
      <w:tr w:rsidR="00667ADA" w14:paraId="39656A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FC" w14:textId="77777777" w:rsidR="00667ADA" w:rsidRDefault="00667ADA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FD" w14:textId="77777777" w:rsidR="00667ADA" w:rsidRDefault="00667ADA"/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FE" w14:textId="77777777" w:rsidR="00667ADA" w:rsidRDefault="00667ADA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9FF" w14:textId="77777777" w:rsidR="00667ADA" w:rsidRDefault="00667ADA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0" w14:textId="77777777" w:rsidR="00667ADA" w:rsidRDefault="00667ADA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1" w14:textId="77777777" w:rsidR="00667ADA" w:rsidRDefault="00667ADA"/>
        </w:tc>
      </w:tr>
      <w:tr w:rsidR="00667ADA" w14:paraId="39656A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3" w14:textId="77777777" w:rsidR="00667ADA" w:rsidRDefault="00667ADA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4" w14:textId="77777777" w:rsidR="00667ADA" w:rsidRDefault="00667ADA"/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5" w14:textId="77777777" w:rsidR="00667ADA" w:rsidRDefault="00667ADA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6" w14:textId="77777777" w:rsidR="00667ADA" w:rsidRDefault="00667ADA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7" w14:textId="77777777" w:rsidR="00667ADA" w:rsidRDefault="00667ADA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08" w14:textId="77777777" w:rsidR="00667ADA" w:rsidRDefault="00667ADA"/>
        </w:tc>
      </w:tr>
    </w:tbl>
    <w:p w14:paraId="39656A0A" w14:textId="77777777" w:rsidR="00667ADA" w:rsidRDefault="00DC0BB2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 xml:space="preserve">Ningún hallazgo de severidad crítica o alta puede quedar pendiente al momento del despliegue a producción, salvo que exista una aceptación formal del riesgo, documentada y aprobada por el </w:t>
      </w:r>
      <w:proofErr w:type="gramStart"/>
      <w:r>
        <w:rPr>
          <w:rFonts w:ascii="Georgia" w:eastAsia="Georgia" w:hAnsi="Georgia" w:cs="Georgia"/>
          <w:color w:val="333333"/>
          <w:sz w:val="22"/>
          <w:szCs w:val="22"/>
        </w:rPr>
        <w:t>Responsable</w:t>
      </w:r>
      <w:proofErr w:type="gramEnd"/>
      <w:r>
        <w:rPr>
          <w:rFonts w:ascii="Georgia" w:eastAsia="Georgia" w:hAnsi="Georgia" w:cs="Georgia"/>
          <w:color w:val="333333"/>
          <w:sz w:val="22"/>
          <w:szCs w:val="22"/>
        </w:rPr>
        <w:t xml:space="preserve"> de TI.</w:t>
      </w:r>
    </w:p>
    <w:p w14:paraId="39656A0B" w14:textId="77777777" w:rsidR="00667ADA" w:rsidRDefault="00DC0BB2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4. Criterio de aplicación según madurez del programa de desarrollo</w:t>
      </w:r>
    </w:p>
    <w:p w14:paraId="39656A0C" w14:textId="77777777" w:rsidR="00667ADA" w:rsidRDefault="00DC0BB2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La exigencia de estos controles puede escalonarse conforme a la madurez del programa de desarrollo de la empresa:</w:t>
      </w:r>
    </w:p>
    <w:p w14:paraId="39656A0D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>Nivel mínimo: validación de entradas, consultas parametrizadas y revisión por pares aplicados de forma manual, sin herramientas automatizadas.</w:t>
      </w:r>
    </w:p>
    <w:p w14:paraId="39656A0E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 xml:space="preserve">Nivel intermedio: incorporación de una herramienta de análisis estático de código de uso libre (por ejemplo,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Semgrep</w:t>
      </w:r>
      <w:proofErr w:type="spellEnd"/>
      <w:r>
        <w:rPr>
          <w:rFonts w:ascii="Georgia" w:eastAsia="Georgia" w:hAnsi="Georgia" w:cs="Georgia"/>
          <w:color w:val="333333"/>
          <w:sz w:val="22"/>
          <w:szCs w:val="22"/>
        </w:rPr>
        <w:t xml:space="preserve"> o </w:t>
      </w: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 xml:space="preserve">SonarQube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Community</w:t>
      </w:r>
      <w:proofErr w:type="spellEnd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Edition</w:t>
      </w:r>
      <w:proofErr w:type="spellEnd"/>
      <w:r>
        <w:rPr>
          <w:rFonts w:ascii="Georgia" w:eastAsia="Georgia" w:hAnsi="Georgia" w:cs="Georgia"/>
          <w:color w:val="333333"/>
          <w:sz w:val="22"/>
          <w:szCs w:val="22"/>
        </w:rPr>
        <w:t>) ejecutada antes de cada despliegue.</w:t>
      </w:r>
    </w:p>
    <w:p w14:paraId="39656A0F" w14:textId="77777777" w:rsidR="00667ADA" w:rsidRDefault="00DC0BB2">
      <w:pPr>
        <w:pStyle w:val="Prrafodelista"/>
        <w:numPr>
          <w:ilvl w:val="0"/>
          <w:numId w:val="2"/>
        </w:numPr>
        <w:spacing w:after="120"/>
      </w:pPr>
      <w:r>
        <w:rPr>
          <w:rFonts w:ascii="Georgia" w:eastAsia="Georgia" w:hAnsi="Georgia" w:cs="Georgia"/>
          <w:color w:val="333333"/>
          <w:sz w:val="22"/>
          <w:szCs w:val="22"/>
        </w:rPr>
        <w:t xml:space="preserve">Nivel avanzado: integración del análisis estático dentro del </w:t>
      </w: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pipeline</w:t>
      </w:r>
      <w:r>
        <w:rPr>
          <w:rFonts w:ascii="Georgia" w:eastAsia="Georgia" w:hAnsi="Georgia" w:cs="Georgia"/>
          <w:color w:val="333333"/>
          <w:sz w:val="22"/>
          <w:szCs w:val="22"/>
        </w:rPr>
        <w:t xml:space="preserve"> de integración continua (CI/CD</w:t>
      </w:r>
      <w:r>
        <w:rPr>
          <w:rFonts w:ascii="Georgia" w:eastAsia="Georgia" w:hAnsi="Georgia" w:cs="Georgia"/>
          <w:color w:val="333333"/>
          <w:sz w:val="22"/>
          <w:szCs w:val="22"/>
        </w:rPr>
        <w:t>), con bloqueo automático de despliegues ante hallazgos críticos, y adopción de una solución comercial conforme crece el volumen de desarrollo.</w:t>
      </w:r>
    </w:p>
    <w:p w14:paraId="39656A10" w14:textId="77777777" w:rsidR="00667ADA" w:rsidRDefault="00DC0BB2">
      <w:pPr>
        <w:pBdr>
          <w:top w:val="single" w:sz="6" w:space="8" w:color="E36C09"/>
          <w:left w:val="single" w:sz="6" w:space="8" w:color="E36C09"/>
          <w:bottom w:val="single" w:sz="6" w:space="8" w:color="E36C09"/>
          <w:right w:val="single" w:sz="6" w:space="8" w:color="E36C09"/>
        </w:pBdr>
        <w:shd w:val="clear" w:color="auto" w:fill="FDF3E7"/>
        <w:spacing w:before="200" w:after="300"/>
        <w:ind w:left="200" w:right="200"/>
      </w:pPr>
      <w:r>
        <w:rPr>
          <w:rFonts w:ascii="Georgia" w:eastAsia="Georgia" w:hAnsi="Georgia" w:cs="Georgia"/>
          <w:b/>
          <w:bCs/>
          <w:i/>
          <w:iCs/>
          <w:color w:val="E36C09"/>
          <w:sz w:val="21"/>
          <w:szCs w:val="21"/>
        </w:rPr>
        <w:t xml:space="preserve">Nota práctica: </w:t>
      </w:r>
      <w:r>
        <w:rPr>
          <w:rFonts w:ascii="Georgia" w:eastAsia="Georgia" w:hAnsi="Georgia" w:cs="Georgia"/>
          <w:i/>
          <w:iCs/>
          <w:color w:val="333333"/>
          <w:sz w:val="21"/>
          <w:szCs w:val="21"/>
        </w:rPr>
        <w:t xml:space="preserve">Comience siempre por el nivel mínimo. La ausencia de herramientas automatizadas no exime a la organización de aplicar los principios de esta política: la </w:t>
      </w:r>
      <w:r>
        <w:rPr>
          <w:rFonts w:ascii="Georgia" w:eastAsia="Georgia" w:hAnsi="Georgia" w:cs="Georgia"/>
          <w:i/>
          <w:iCs/>
          <w:color w:val="333333"/>
          <w:sz w:val="21"/>
          <w:szCs w:val="21"/>
        </w:rPr>
        <w:lastRenderedPageBreak/>
        <w:t>validación de entradas y las consultas parametrizadas pueden —y deben— implementarse manualmente desde el primer día, sin importar el tamaño del equipo de desarrollo.</w:t>
      </w:r>
    </w:p>
    <w:p w14:paraId="39656A11" w14:textId="77777777" w:rsidR="00667ADA" w:rsidRDefault="00DC0BB2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5. Roles y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67ADA" w14:paraId="39656A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A12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Rol</w:t>
            </w:r>
          </w:p>
        </w:tc>
        <w:tc>
          <w:tcPr>
            <w:tcW w:w="6560" w:type="dxa"/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6A13" w14:textId="77777777" w:rsidR="00667ADA" w:rsidRDefault="00DC0BB2">
            <w:r>
              <w:rPr>
                <w:rFonts w:ascii="Georgia" w:eastAsia="Georgia" w:hAnsi="Georgia" w:cs="Georgia"/>
                <w:b/>
                <w:bCs/>
                <w:color w:val="1F3864"/>
              </w:rPr>
              <w:t>Responsabilidad</w:t>
            </w:r>
          </w:p>
        </w:tc>
      </w:tr>
      <w:tr w:rsidR="00667ADA" w14:paraId="39656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15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Gerencia General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16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Aprobar la política y garantizar los recursos necesarios para su implementación, incluyendo la adquisición de herramientas cuando la madurez del programa lo requiera.</w:t>
            </w:r>
          </w:p>
        </w:tc>
      </w:tr>
      <w:tr w:rsidR="00667ADA" w14:paraId="39656A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18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Responsable de TI / Líder Técnico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19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Mantener el registro de hallazgos de seguridad, verificar el cumplimiento de los principios de desarrollo seguro antes de cada despliegue, y aprobar o rechazar las aceptaciones de riesgo.</w:t>
            </w:r>
          </w:p>
        </w:tc>
      </w:tr>
      <w:tr w:rsidR="00667ADA" w14:paraId="39656A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1B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Equipo de desarrollo (interno o subcontratado)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A1C" w14:textId="77777777" w:rsidR="00667ADA" w:rsidRDefault="00DC0BB2"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Aplicar los principios de desarrollo seguro descritos en la Sección 2 durante la construcción del código, y participar en el proceso de revisión por pares.</w:t>
            </w:r>
          </w:p>
        </w:tc>
      </w:tr>
    </w:tbl>
    <w:p w14:paraId="39656A1E" w14:textId="77777777" w:rsidR="00667ADA" w:rsidRDefault="00DC0BB2">
      <w:pPr>
        <w:pBdr>
          <w:bottom w:val="single" w:sz="6" w:space="4" w:color="185FA5"/>
        </w:pBdr>
        <w:spacing w:before="360" w:after="160"/>
      </w:pPr>
      <w:r>
        <w:rPr>
          <w:rFonts w:ascii="Calibri" w:eastAsia="Calibri" w:hAnsi="Calibri" w:cs="Calibri"/>
          <w:b/>
          <w:bCs/>
          <w:color w:val="185FA5"/>
          <w:sz w:val="26"/>
          <w:szCs w:val="26"/>
        </w:rPr>
        <w:t>6. Cumplimiento y revisión</w:t>
      </w:r>
    </w:p>
    <w:p w14:paraId="39656A1F" w14:textId="77777777" w:rsidR="00667ADA" w:rsidRDefault="00DC0BB2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Esta política es de cumplimiento obligatorio para todo el personal y para cualquier proveedor externo que participe en el desarrollo de software para la organización. El incumplimiento —incluyendo el despliegue a producción de código con hallazgos críticos no resueltos ni formalmente aceptados— puede derivar en medidas disciplinarias o contractuales, de acuerdo con el reglamento interno de trabajo o los términos del contrato correspondiente.</w:t>
      </w:r>
    </w:p>
    <w:p w14:paraId="39656A20" w14:textId="77777777" w:rsidR="00667ADA" w:rsidRDefault="00DC0BB2">
      <w:pPr>
        <w:spacing w:after="200" w:line="276" w:lineRule="auto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Esta política debe ser revisada y actualizada al menos una vez al año, o de forma inmediata ante cambios significativos en las tecnologías de desarrollo utilizadas por la organización o ante la aparición de nuevas categorías de vulnerabilidades relevantes para las aplicaciones de la empresa.</w:t>
      </w:r>
    </w:p>
    <w:sectPr w:rsidR="00667AD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322E" w14:textId="77777777" w:rsidR="00DC0BB2" w:rsidRDefault="00DC0BB2">
      <w:r>
        <w:separator/>
      </w:r>
    </w:p>
  </w:endnote>
  <w:endnote w:type="continuationSeparator" w:id="0">
    <w:p w14:paraId="70D5E2B9" w14:textId="77777777" w:rsidR="00DC0BB2" w:rsidRDefault="00DC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6A22" w14:textId="77777777" w:rsidR="00667ADA" w:rsidRDefault="00DC0BB2">
    <w:pPr>
      <w:jc w:val="center"/>
    </w:pPr>
    <w:r>
      <w:rPr>
        <w:rFonts w:ascii="Georgia" w:eastAsia="Georgia" w:hAnsi="Georgia" w:cs="Georgia"/>
        <w:color w:val="808080"/>
        <w:sz w:val="16"/>
        <w:szCs w:val="16"/>
      </w:rPr>
      <w:t xml:space="preserve">© Mauricio Vergara </w:t>
    </w:r>
    <w:proofErr w:type="gramStart"/>
    <w:r>
      <w:rPr>
        <w:rFonts w:ascii="Georgia" w:eastAsia="Georgia" w:hAnsi="Georgia" w:cs="Georgia"/>
        <w:color w:val="808080"/>
        <w:sz w:val="16"/>
        <w:szCs w:val="16"/>
      </w:rPr>
      <w:t>Manjarrés  ·</w:t>
    </w:r>
    <w:proofErr w:type="gramEnd"/>
    <w:r>
      <w:rPr>
        <w:rFonts w:ascii="Georgia" w:eastAsia="Georgia" w:hAnsi="Georgia" w:cs="Georgia"/>
        <w:color w:val="808080"/>
        <w:sz w:val="16"/>
        <w:szCs w:val="16"/>
      </w:rPr>
      <w:t xml:space="preserve">  Versión </w:t>
    </w:r>
    <w:proofErr w:type="gramStart"/>
    <w:r>
      <w:rPr>
        <w:rFonts w:ascii="Georgia" w:eastAsia="Georgia" w:hAnsi="Georgia" w:cs="Georgia"/>
        <w:color w:val="808080"/>
        <w:sz w:val="16"/>
        <w:szCs w:val="16"/>
      </w:rPr>
      <w:t>1.0  ·</w:t>
    </w:r>
    <w:proofErr w:type="gramEnd"/>
    <w:r>
      <w:rPr>
        <w:rFonts w:ascii="Georgia" w:eastAsia="Georgia" w:hAnsi="Georgia" w:cs="Georgia"/>
        <w:color w:val="808080"/>
        <w:sz w:val="16"/>
        <w:szCs w:val="16"/>
      </w:rPr>
      <w:t xml:space="preserve">  Plantilla 9.4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C86FE" w14:textId="77777777" w:rsidR="00DC0BB2" w:rsidRDefault="00DC0BB2">
      <w:r>
        <w:separator/>
      </w:r>
    </w:p>
  </w:footnote>
  <w:footnote w:type="continuationSeparator" w:id="0">
    <w:p w14:paraId="741BFFCE" w14:textId="77777777" w:rsidR="00DC0BB2" w:rsidRDefault="00DC0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6A21" w14:textId="77777777" w:rsidR="00667ADA" w:rsidRDefault="00DC0BB2">
    <w:pPr>
      <w:jc w:val="center"/>
    </w:pPr>
    <w:r>
      <w:rPr>
        <w:rFonts w:ascii="Georgia" w:eastAsia="Georgia" w:hAnsi="Georgia" w:cs="Georgia"/>
        <w:i/>
        <w:iCs/>
        <w:color w:val="808080"/>
        <w:sz w:val="16"/>
        <w:szCs w:val="16"/>
      </w:rPr>
      <w:t>Ciberprotección para PyMES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AF5"/>
    <w:multiLevelType w:val="hybridMultilevel"/>
    <w:tmpl w:val="25B050FA"/>
    <w:lvl w:ilvl="0" w:tplc="093456B4">
      <w:start w:val="1"/>
      <w:numFmt w:val="bullet"/>
      <w:lvlText w:val="●"/>
      <w:lvlJc w:val="left"/>
      <w:pPr>
        <w:ind w:left="720" w:hanging="360"/>
      </w:pPr>
    </w:lvl>
    <w:lvl w:ilvl="1" w:tplc="A1BE769C">
      <w:start w:val="1"/>
      <w:numFmt w:val="bullet"/>
      <w:lvlText w:val="○"/>
      <w:lvlJc w:val="left"/>
      <w:pPr>
        <w:ind w:left="1440" w:hanging="360"/>
      </w:pPr>
    </w:lvl>
    <w:lvl w:ilvl="2" w:tplc="B19C46E8">
      <w:start w:val="1"/>
      <w:numFmt w:val="bullet"/>
      <w:lvlText w:val="■"/>
      <w:lvlJc w:val="left"/>
      <w:pPr>
        <w:ind w:left="2160" w:hanging="360"/>
      </w:pPr>
    </w:lvl>
    <w:lvl w:ilvl="3" w:tplc="C3123F9E">
      <w:start w:val="1"/>
      <w:numFmt w:val="bullet"/>
      <w:lvlText w:val="●"/>
      <w:lvlJc w:val="left"/>
      <w:pPr>
        <w:ind w:left="2880" w:hanging="360"/>
      </w:pPr>
    </w:lvl>
    <w:lvl w:ilvl="4" w:tplc="DA14E56A">
      <w:start w:val="1"/>
      <w:numFmt w:val="bullet"/>
      <w:lvlText w:val="○"/>
      <w:lvlJc w:val="left"/>
      <w:pPr>
        <w:ind w:left="3600" w:hanging="360"/>
      </w:pPr>
    </w:lvl>
    <w:lvl w:ilvl="5" w:tplc="9AC639F8">
      <w:start w:val="1"/>
      <w:numFmt w:val="bullet"/>
      <w:lvlText w:val="■"/>
      <w:lvlJc w:val="left"/>
      <w:pPr>
        <w:ind w:left="4320" w:hanging="360"/>
      </w:pPr>
    </w:lvl>
    <w:lvl w:ilvl="6" w:tplc="719CC9E6">
      <w:start w:val="1"/>
      <w:numFmt w:val="bullet"/>
      <w:lvlText w:val="●"/>
      <w:lvlJc w:val="left"/>
      <w:pPr>
        <w:ind w:left="5040" w:hanging="360"/>
      </w:pPr>
    </w:lvl>
    <w:lvl w:ilvl="7" w:tplc="18CE166A">
      <w:start w:val="1"/>
      <w:numFmt w:val="bullet"/>
      <w:lvlText w:val="●"/>
      <w:lvlJc w:val="left"/>
      <w:pPr>
        <w:ind w:left="5760" w:hanging="360"/>
      </w:pPr>
    </w:lvl>
    <w:lvl w:ilvl="8" w:tplc="4C049F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43B88"/>
    <w:multiLevelType w:val="hybridMultilevel"/>
    <w:tmpl w:val="0C1E1DC8"/>
    <w:lvl w:ilvl="0" w:tplc="D8247F0A">
      <w:start w:val="1"/>
      <w:numFmt w:val="bullet"/>
      <w:lvlText w:val="•"/>
      <w:lvlJc w:val="left"/>
      <w:pPr>
        <w:ind w:left="851" w:hanging="567"/>
      </w:pPr>
      <w:rPr>
        <w:rFonts w:ascii="Georgia" w:eastAsia="Georgia" w:hAnsi="Georgia" w:cs="Georgia"/>
        <w:color w:val="333333"/>
      </w:rPr>
    </w:lvl>
    <w:lvl w:ilvl="1" w:tplc="16F28166">
      <w:numFmt w:val="decimal"/>
      <w:lvlText w:val=""/>
      <w:lvlJc w:val="left"/>
    </w:lvl>
    <w:lvl w:ilvl="2" w:tplc="999A4D26">
      <w:numFmt w:val="decimal"/>
      <w:lvlText w:val=""/>
      <w:lvlJc w:val="left"/>
    </w:lvl>
    <w:lvl w:ilvl="3" w:tplc="021E8526">
      <w:numFmt w:val="decimal"/>
      <w:lvlText w:val=""/>
      <w:lvlJc w:val="left"/>
    </w:lvl>
    <w:lvl w:ilvl="4" w:tplc="7E98345A">
      <w:numFmt w:val="decimal"/>
      <w:lvlText w:val=""/>
      <w:lvlJc w:val="left"/>
    </w:lvl>
    <w:lvl w:ilvl="5" w:tplc="E27C5526">
      <w:numFmt w:val="decimal"/>
      <w:lvlText w:val=""/>
      <w:lvlJc w:val="left"/>
    </w:lvl>
    <w:lvl w:ilvl="6" w:tplc="F13A011E">
      <w:numFmt w:val="decimal"/>
      <w:lvlText w:val=""/>
      <w:lvlJc w:val="left"/>
    </w:lvl>
    <w:lvl w:ilvl="7" w:tplc="182A7FCC">
      <w:numFmt w:val="decimal"/>
      <w:lvlText w:val=""/>
      <w:lvlJc w:val="left"/>
    </w:lvl>
    <w:lvl w:ilvl="8" w:tplc="48A66CFA">
      <w:numFmt w:val="decimal"/>
      <w:lvlText w:val=""/>
      <w:lvlJc w:val="left"/>
    </w:lvl>
  </w:abstractNum>
  <w:num w:numId="1" w16cid:durableId="1248881010">
    <w:abstractNumId w:val="0"/>
    <w:lvlOverride w:ilvl="0">
      <w:startOverride w:val="1"/>
    </w:lvlOverride>
  </w:num>
  <w:num w:numId="2" w16cid:durableId="356126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ADA"/>
    <w:rsid w:val="003E6E5B"/>
    <w:rsid w:val="00667ADA"/>
    <w:rsid w:val="00806343"/>
    <w:rsid w:val="00DC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569C5"/>
  <w15:docId w15:val="{0F54BA08-26FF-4826-AC78-4A987915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777</Words>
  <Characters>4466</Characters>
  <Application>Microsoft Office Word</Application>
  <DocSecurity>0</DocSecurity>
  <Lines>85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2026-07-10T19:45:00Z</dcterms:created>
  <dcterms:modified xsi:type="dcterms:W3CDTF">2026-07-10T19:55:00Z</dcterms:modified>
</cp:coreProperties>
</file>