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5F5E5A"/>
          <w:sz w:val="24"/>
          <w:szCs w:val="24"/>
        </w:rPr>
        <w:t xml:space="preserve">Plantilla 5.7</w:t>
      </w:r>
    </w:p>
    <w:p>
      <w:pPr>
        <w:spacing w:after="120"/>
      </w:pPr>
      <w:r>
        <w:rPr>
          <w:rFonts w:ascii="Calibri" w:cs="Calibri" w:eastAsia="Calibri" w:hAnsi="Calibri"/>
          <w:b/>
          <w:bCs/>
          <w:color w:val="1F3864"/>
          <w:sz w:val="52"/>
          <w:szCs w:val="52"/>
        </w:rPr>
        <w:t xml:space="preserve">PLAN DE RECUPERACIÓN DE DATOS</w:t>
      </w:r>
    </w:p>
    <w:p>
      <w:pPr>
        <w:pBdr>
          <w:bottom w:val="single" w:color="185FA5" w:sz="8" w:space="8"/>
        </w:pBdr>
        <w:spacing w:after="480"/>
      </w:pPr>
      <w:r>
        <w:rPr>
          <w:rFonts w:ascii="Calibri" w:cs="Calibri" w:eastAsia="Calibri" w:hAnsi="Calibri"/>
          <w:color w:val="185FA5"/>
          <w:sz w:val="28"/>
          <w:szCs w:val="28"/>
        </w:rPr>
        <w:t xml:space="preserve">Componente de datos del Plan de Recuperación de Desastres (DRP)</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1"/>
        <w:gridCol w:w="6981"/>
      </w:tblGrid>
      <w:tr>
        <w:trPr>
          <w:tblHeader/>
        </w:trPr>
        <w:tc>
          <w:tcPr>
            <w:tcW w:type="dxa" w:w="2991"/>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Campo</w:t>
            </w:r>
          </w:p>
        </w:tc>
        <w:tc>
          <w:tcPr>
            <w:tcW w:type="dxa" w:w="6981"/>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Detalle</w:t>
            </w:r>
          </w:p>
        </w:tc>
      </w:tr>
      <w:tr>
        <w:tc>
          <w:tcPr>
            <w:tcW w:type="dxa" w:w="29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Organización</w:t>
            </w:r>
          </w:p>
        </w:tc>
        <w:tc>
          <w:tcPr>
            <w:tcW w:type="dxa" w:w="698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[Nombre de la organización]</w:t>
            </w:r>
          </w:p>
        </w:tc>
      </w:tr>
      <w:tr>
        <w:tc>
          <w:tcPr>
            <w:tcW w:type="dxa" w:w="299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Versión</w:t>
            </w:r>
          </w:p>
        </w:tc>
        <w:tc>
          <w:tcPr>
            <w:tcW w:type="dxa" w:w="698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1.0</w:t>
            </w:r>
          </w:p>
        </w:tc>
      </w:tr>
      <w:tr>
        <w:tc>
          <w:tcPr>
            <w:tcW w:type="dxa" w:w="29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Fecha de elaboración</w:t>
            </w:r>
          </w:p>
        </w:tc>
        <w:tc>
          <w:tcPr>
            <w:tcW w:type="dxa" w:w="698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[DD/MM/AAAA]</w:t>
            </w:r>
          </w:p>
        </w:tc>
      </w:tr>
      <w:tr>
        <w:tc>
          <w:tcPr>
            <w:tcW w:type="dxa" w:w="299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Próxima revisión</w:t>
            </w:r>
          </w:p>
        </w:tc>
        <w:tc>
          <w:tcPr>
            <w:tcW w:type="dxa" w:w="698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[DD/MM/AAAA]</w:t>
            </w:r>
          </w:p>
        </w:tc>
      </w:tr>
      <w:tr>
        <w:tc>
          <w:tcPr>
            <w:tcW w:type="dxa" w:w="29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Elaborado por</w:t>
            </w:r>
          </w:p>
        </w:tc>
        <w:tc>
          <w:tcPr>
            <w:tcW w:type="dxa" w:w="698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[Nombre y cargo]</w:t>
            </w:r>
          </w:p>
        </w:tc>
      </w:tr>
      <w:tr>
        <w:tc>
          <w:tcPr>
            <w:tcW w:type="dxa" w:w="299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Aprobado por</w:t>
            </w:r>
          </w:p>
        </w:tc>
        <w:tc>
          <w:tcPr>
            <w:tcW w:type="dxa" w:w="698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[Nombre y cargo]</w:t>
            </w:r>
          </w:p>
        </w:tc>
      </w:tr>
      <w:tr>
        <w:tc>
          <w:tcPr>
            <w:tcW w:type="dxa" w:w="29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Software de copias de seguridad</w:t>
            </w:r>
          </w:p>
        </w:tc>
        <w:tc>
          <w:tcPr>
            <w:tcW w:type="dxa" w:w="698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[Producto y versión]</w:t>
            </w:r>
          </w:p>
        </w:tc>
      </w:tr>
      <w:tr>
        <w:tc>
          <w:tcPr>
            <w:tcW w:type="dxa" w:w="299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Clasificación</w:t>
            </w:r>
          </w:p>
        </w:tc>
        <w:tc>
          <w:tcPr>
            <w:tcW w:type="dxa" w:w="698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Confidencial — uso interno del equipo de TI y la dirección</w:t>
            </w:r>
          </w:p>
        </w:tc>
      </w:tr>
    </w:tbl>
    <w:p>
      <w:pPr>
        <w:spacing w:after="120"/>
      </w:pPr>
    </w:p>
    <w:p>
      <w:pPr>
        <w:pBdr>
          <w:top w:val="single" w:color="E36C09" w:sz="8" w:space="6"/>
          <w:left w:val="single" w:color="E36C09" w:sz="8" w:space="6"/>
          <w:bottom w:val="single" w:color="E36C09" w:sz="8" w:space="6"/>
          <w:right w:val="single" w:color="E36C09" w:sz="8" w:space="6"/>
        </w:pBdr>
        <w:shd w:fill="FDF3EA" w:color="auto" w:val="clear"/>
        <w:spacing w:after="200" w:before="160" w:line="276"/>
        <w:ind w:left="120" w:right="120"/>
        <w:jc w:val="both"/>
      </w:pPr>
      <w:r>
        <w:rPr>
          <w:b/>
          <w:bCs/>
          <w:color w:val="E36C09"/>
        </w:rPr>
        <w:t xml:space="preserve">Nota práctica: </w:t>
      </w:r>
      <w:r>
        <w:t xml:space="preserve">Este documento debe almacenarse en al menos dos ubicaciones independientes de los sistemas que describe: una copia impresa bajo custodia del Coordinador del plan y una copia digital accesible sin depender del directorio corporativo, del servidor de archivos ni del correo electrónico. Un plan almacenado únicamente en el servidor que se intenta recuperar no cumple ninguna función.</w:t>
      </w:r>
    </w:p>
    <w:p>
      <w:pPr>
        <w:spacing w:before="600"/>
      </w:pPr>
      <w:r>
        <w:rPr>
          <w:rFonts w:ascii="Calibri" w:cs="Calibri" w:eastAsia="Calibri" w:hAnsi="Calibri"/>
          <w:color w:val="5F5E5A"/>
          <w:sz w:val="18"/>
          <w:szCs w:val="18"/>
        </w:rPr>
        <w:t xml:space="preserve">Ciberprotección para PyMES — Capítulo 5: Datos · Función de Respuesta</w:t>
      </w:r>
    </w:p>
    <w:p>
      <w:r>
        <w:br w:type="page"/>
      </w:r>
    </w:p>
    <w:p>
      <w:pPr>
        <w:pStyle w:val="Heading1"/>
      </w:pPr>
      <w:r>
        <w:t xml:space="preserve">Control de versiones y aprobación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6"/>
        <w:gridCol w:w="1595"/>
        <w:gridCol w:w="2991"/>
        <w:gridCol w:w="4190"/>
      </w:tblGrid>
      <w:tr>
        <w:trPr>
          <w:tblHeader/>
        </w:trPr>
        <w:tc>
          <w:tcPr>
            <w:tcW w:type="dxa" w:w="1196"/>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Versión</w:t>
            </w:r>
          </w:p>
        </w:tc>
        <w:tc>
          <w:tcPr>
            <w:tcW w:type="dxa" w:w="1595"/>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Fecha</w:t>
            </w:r>
          </w:p>
        </w:tc>
        <w:tc>
          <w:tcPr>
            <w:tcW w:type="dxa" w:w="2991"/>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Autor / Responsable</w:t>
            </w:r>
          </w:p>
        </w:tc>
        <w:tc>
          <w:tcPr>
            <w:tcW w:type="dxa" w:w="4190"/>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Descripción del cambio</w:t>
            </w:r>
          </w:p>
        </w:tc>
      </w:tr>
      <w:tr>
        <w:tc>
          <w:tcPr>
            <w:tcW w:type="dxa" w:w="11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1.0</w:t>
            </w:r>
          </w:p>
        </w:tc>
        <w:tc>
          <w:tcPr>
            <w:tcW w:type="dxa" w:w="15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29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419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Emisión inicial del documento</w:t>
            </w:r>
          </w:p>
        </w:tc>
      </w:tr>
      <w:tr>
        <w:tc>
          <w:tcPr>
            <w:tcW w:type="dxa" w:w="119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299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419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11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29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419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bl>
    <w:p>
      <w:pPr>
        <w:spacing w:after="120"/>
      </w:pP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9"/>
        <w:gridCol w:w="2592"/>
        <w:gridCol w:w="1994"/>
        <w:gridCol w:w="1797"/>
      </w:tblGrid>
      <w:tr>
        <w:trPr>
          <w:tblHeader/>
        </w:trPr>
        <w:tc>
          <w:tcPr>
            <w:tcW w:type="dxa" w:w="3589"/>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Rol</w:t>
            </w:r>
          </w:p>
        </w:tc>
        <w:tc>
          <w:tcPr>
            <w:tcW w:type="dxa" w:w="2592"/>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Nombre</w:t>
            </w:r>
          </w:p>
        </w:tc>
        <w:tc>
          <w:tcPr>
            <w:tcW w:type="dxa" w:w="1994"/>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Firma</w:t>
            </w:r>
          </w:p>
        </w:tc>
        <w:tc>
          <w:tcPr>
            <w:tcW w:type="dxa" w:w="1797"/>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Fecha</w:t>
            </w:r>
          </w:p>
        </w:tc>
      </w:tr>
      <w:tr>
        <w:tc>
          <w:tcPr>
            <w:tcW w:type="dxa" w:w="358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Gerencia / Dirección general</w:t>
            </w:r>
          </w:p>
        </w:tc>
        <w:tc>
          <w:tcPr>
            <w:tcW w:type="dxa" w:w="2592"/>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9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7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358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Responsable de TI / Coordinador del plan</w:t>
            </w:r>
          </w:p>
        </w:tc>
        <w:tc>
          <w:tcPr>
            <w:tcW w:type="dxa" w:w="2592"/>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9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7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bl>
    <w:p>
      <w:pPr>
        <w:pStyle w:val="Heading1"/>
      </w:pPr>
      <w:r>
        <w:t xml:space="preserve">1. Objetivo y alcance</w:t>
      </w:r>
    </w:p>
    <w:p>
      <w:pPr>
        <w:spacing w:after="120" w:line="276"/>
        <w:jc w:val="both"/>
      </w:pPr>
      <w:r>
        <w:t xml:space="preserve">Este plan establece los criterios, roles, recursos y procedimientos técnicos necesarios para restaurar la información de la organización a partir de sus copias de seguridad, desde la recuperación de un archivo individual hasta la reconstrucción completa de un servidor o de un repositorio en la nube. Constituye el componente de datos del Plan de Recuperación de Desastres (DRP) de la organización.</w:t>
      </w:r>
    </w:p>
    <w:p>
      <w:pPr>
        <w:spacing w:after="120" w:line="276"/>
        <w:jc w:val="both"/>
      </w:pPr>
      <w:r>
        <w:t xml:space="preserve">El plan aplica a todas las fuentes de información registradas en el inventario de fuentes con copia de seguridad activa, con prioridad para las clasificadas como </w:t>
      </w:r>
      <w:r>
        <w:rPr>
          <w:b/>
          <w:bCs/>
        </w:rPr>
        <w:t xml:space="preserve">Crítica</w:t>
      </w:r>
      <w:r>
        <w:t xml:space="preserve"> y </w:t>
      </w:r>
      <w:r>
        <w:rPr>
          <w:b/>
          <w:bCs/>
        </w:rPr>
        <w:t xml:space="preserve">Alta</w:t>
      </w:r>
      <w:r>
        <w:t xml:space="preserve">. Las fuentes cubiertas se detallan en la sección 5.</w:t>
      </w:r>
    </w:p>
    <w:p>
      <w:pPr>
        <w:spacing w:after="120" w:line="276"/>
        <w:jc w:val="both"/>
      </w:pPr>
      <w:r>
        <w:rPr>
          <w:b/>
          <w:bCs/>
        </w:rPr>
        <w:t xml:space="preserve">Insumos requeridos para completar este plan:</w:t>
      </w:r>
      <w:r>
        <w:t xml:space="preserve"> inventario de fuentes de información con su criticidad (Plantilla 5.5), Política de Copias de Seguridad (Plantilla 5.3), Tabla de Retención Documental (Plantilla 5.2) y la asignación de propietarios de información por dominio funcional.</w:t>
      </w:r>
    </w:p>
    <w:p>
      <w:pPr>
        <w:pStyle w:val="Heading1"/>
      </w:pPr>
      <w:r>
        <w:t xml:space="preserve">2. Definiciones operativas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7380"/>
      </w:tblGrid>
      <w:tr>
        <w:trPr>
          <w:tblHeader/>
        </w:trPr>
        <w:tc>
          <w:tcPr>
            <w:tcW w:type="dxa" w:w="2592"/>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Término</w:t>
            </w:r>
          </w:p>
        </w:tc>
        <w:tc>
          <w:tcPr>
            <w:tcW w:type="dxa" w:w="7380"/>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Definición</w:t>
            </w:r>
          </w:p>
        </w:tc>
      </w:tr>
      <w:tr>
        <w:tc>
          <w:tcPr>
            <w:tcW w:type="dxa" w:w="2592"/>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RPO</w:t>
            </w:r>
          </w:p>
        </w:tc>
        <w:tc>
          <w:tcPr>
            <w:tcW w:type="dxa" w:w="738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Punto de Retorno Objetivo: máxima pérdida de datos tolerable, expresada en tiempo. Determina la antigüedad máxima aceptable del punto de recuperación.</w:t>
            </w:r>
          </w:p>
        </w:tc>
      </w:tr>
      <w:tr>
        <w:tc>
          <w:tcPr>
            <w:tcW w:type="dxa" w:w="2592"/>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RTO</w:t>
            </w:r>
          </w:p>
        </w:tc>
        <w:tc>
          <w:tcPr>
            <w:tcW w:type="dxa" w:w="738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Tiempo de Recuperación Objetivo: tiempo máximo tolerable entre la interrupción y el restablecimiento del servicio.</w:t>
            </w:r>
          </w:p>
        </w:tc>
      </w:tr>
      <w:tr>
        <w:tc>
          <w:tcPr>
            <w:tcW w:type="dxa" w:w="2592"/>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Punto de recuperación</w:t>
            </w:r>
          </w:p>
        </w:tc>
        <w:tc>
          <w:tcPr>
            <w:tcW w:type="dxa" w:w="738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Copia de seguridad específica, identificada por fecha y hora, seleccionada como origen de una restauración.</w:t>
            </w:r>
          </w:p>
        </w:tc>
      </w:tr>
      <w:tr>
        <w:tc>
          <w:tcPr>
            <w:tcW w:type="dxa" w:w="2592"/>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Último punto limpio</w:t>
            </w:r>
          </w:p>
        </w:tc>
        <w:tc>
          <w:tcPr>
            <w:tcW w:type="dxa" w:w="738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Punto de recuperación más reciente del cual se ha verificado que no contiene artefactos del incidente (</w:t>
            </w:r>
            <w:r>
              <w:rPr>
                <w:rFonts w:ascii="Calibri" w:cs="Calibri" w:eastAsia="Calibri" w:hAnsi="Calibri"/>
                <w:b w:val="false"/>
                <w:bCs w:val="false"/>
                <w:i/>
                <w:iCs/>
                <w:sz w:val="19"/>
                <w:szCs w:val="19"/>
              </w:rPr>
              <w:t xml:space="preserve">malware</w:t>
            </w:r>
            <w:r>
              <w:rPr>
                <w:rFonts w:ascii="Calibri" w:cs="Calibri" w:eastAsia="Calibri" w:hAnsi="Calibri"/>
                <w:b w:val="false"/>
                <w:bCs w:val="false"/>
                <w:sz w:val="19"/>
                <w:szCs w:val="19"/>
              </w:rPr>
              <w:t xml:space="preserve">, archivos cifrados, cambios no autorizados).</w:t>
            </w:r>
          </w:p>
        </w:tc>
      </w:tr>
      <w:tr>
        <w:tc>
          <w:tcPr>
            <w:tcW w:type="dxa" w:w="2592"/>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Copia inmutable</w:t>
            </w:r>
          </w:p>
        </w:tc>
        <w:tc>
          <w:tcPr>
            <w:tcW w:type="dxa" w:w="738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Copia que, una vez completada, no puede modificarse ni eliminarse antes de cumplir su período de retención, ni siquiera por un administrador.</w:t>
            </w:r>
          </w:p>
        </w:tc>
      </w:tr>
      <w:tr>
        <w:tc>
          <w:tcPr>
            <w:tcW w:type="dxa" w:w="2592"/>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Restauración aislada</w:t>
            </w:r>
          </w:p>
        </w:tc>
        <w:tc>
          <w:tcPr>
            <w:tcW w:type="dxa" w:w="738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Restauración ejecutada en un segmento de red o entorno separado de producción, usado para verificar el contenido antes de reincorporarlo.</w:t>
            </w:r>
          </w:p>
        </w:tc>
      </w:tr>
      <w:tr>
        <w:tc>
          <w:tcPr>
            <w:tcW w:type="dxa" w:w="2592"/>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i/>
                <w:iCs/>
                <w:sz w:val="19"/>
                <w:szCs w:val="19"/>
              </w:rPr>
              <w:t xml:space="preserve">Job</w:t>
            </w:r>
          </w:p>
        </w:tc>
        <w:tc>
          <w:tcPr>
            <w:tcW w:type="dxa" w:w="738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Tarea programada del software de respaldo que define qué, cuándo, cómo y dónde se respalda la información.</w:t>
            </w:r>
          </w:p>
        </w:tc>
      </w:tr>
      <w:tr>
        <w:tc>
          <w:tcPr>
            <w:tcW w:type="dxa" w:w="2592"/>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ourier New" w:cs="Courier New" w:eastAsia="Courier New" w:hAnsi="Courier New"/>
                <w:b/>
                <w:bCs/>
                <w:sz w:val="19"/>
                <w:szCs w:val="19"/>
              </w:rPr>
              <w:t xml:space="preserve">backup-user</w:t>
            </w:r>
            <w:r>
              <w:rPr>
                <w:rFonts w:ascii="Calibri" w:cs="Calibri" w:eastAsia="Calibri" w:hAnsi="Calibri"/>
                <w:b/>
                <w:bCs/>
                <w:sz w:val="19"/>
                <w:szCs w:val="19"/>
              </w:rPr>
              <w:t xml:space="preserve"> / </w:t>
            </w:r>
            <w:r>
              <w:rPr>
                <w:rFonts w:ascii="Courier New" w:cs="Courier New" w:eastAsia="Courier New" w:hAnsi="Courier New"/>
                <w:b/>
                <w:bCs/>
                <w:sz w:val="19"/>
                <w:szCs w:val="19"/>
              </w:rPr>
              <w:t xml:space="preserve">restore-user</w:t>
            </w:r>
          </w:p>
        </w:tc>
        <w:tc>
          <w:tcPr>
            <w:tcW w:type="dxa" w:w="738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Cuentas de servicio separadas: la primera con permisos de solo lectura sobre las fuentes; la segunda con permisos de escritura sobre el destino de restauración y sin capacidad de modificar la configuración del software de respaldo.</w:t>
            </w:r>
          </w:p>
        </w:tc>
      </w:tr>
    </w:tbl>
    <w:p>
      <w:pPr>
        <w:pStyle w:val="Heading1"/>
      </w:pPr>
      <w:r>
        <w:t xml:space="preserve">3. Criterios de activación</w:t>
      </w:r>
    </w:p>
    <w:p>
      <w:pPr>
        <w:spacing w:after="120" w:line="276"/>
        <w:jc w:val="both"/>
      </w:pPr>
      <w:r>
        <w:t xml:space="preserve">No toda restauración constituye una activación del plan. La organización distingue dos niveles: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3"/>
        <w:gridCol w:w="4587"/>
        <w:gridCol w:w="2992"/>
      </w:tblGrid>
      <w:tr>
        <w:trPr>
          <w:tblHeader/>
        </w:trPr>
        <w:tc>
          <w:tcPr>
            <w:tcW w:type="dxa" w:w="2393"/>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Nivel</w:t>
            </w:r>
          </w:p>
        </w:tc>
        <w:tc>
          <w:tcPr>
            <w:tcW w:type="dxa" w:w="4587"/>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Situación</w:t>
            </w:r>
          </w:p>
        </w:tc>
        <w:tc>
          <w:tcPr>
            <w:tcW w:type="dxa" w:w="2992"/>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Tratamiento</w:t>
            </w:r>
          </w:p>
        </w:tc>
      </w:tr>
      <w:tr>
        <w:tc>
          <w:tcPr>
            <w:tcW w:type="dxa" w:w="239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Nivel 1 — Restauración operativa</w:t>
            </w:r>
          </w:p>
        </w:tc>
        <w:tc>
          <w:tcPr>
            <w:tcW w:type="dxa" w:w="458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Recuperación de archivos, carpetas o registros puntuales por eliminación accidental o corrupción aislada, sin indicios de incidente de seguridad.</w:t>
            </w:r>
          </w:p>
        </w:tc>
        <w:tc>
          <w:tcPr>
            <w:tcW w:type="dxa" w:w="2992"/>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Solicitud en la Mesa de Ayuda y ejecución del procedimiento 7.1 o 7.4. No requiere activar el plan.</w:t>
            </w:r>
          </w:p>
        </w:tc>
      </w:tr>
      <w:tr>
        <w:tc>
          <w:tcPr>
            <w:tcW w:type="dxa" w:w="239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Nivel 2 — Activación del plan</w:t>
            </w:r>
          </w:p>
        </w:tc>
        <w:tc>
          <w:tcPr>
            <w:tcW w:type="dxa" w:w="458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Al menos una de las condiciones listadas a continuación.</w:t>
            </w:r>
          </w:p>
        </w:tc>
        <w:tc>
          <w:tcPr>
            <w:tcW w:type="dxa" w:w="2992"/>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Declaración formal por el responsable autorizado y ejecución del procedimiento general (sección 6).</w:t>
            </w:r>
          </w:p>
        </w:tc>
      </w:tr>
    </w:tbl>
    <w:p>
      <w:pPr>
        <w:spacing w:after="120"/>
      </w:pPr>
    </w:p>
    <w:p>
      <w:pPr>
        <w:spacing w:after="120" w:line="276"/>
        <w:jc w:val="both"/>
      </w:pPr>
      <w:r>
        <w:t xml:space="preserve">Condiciones de activación (Nivel 2):</w:t>
      </w:r>
    </w:p>
    <w:p>
      <w:pPr>
        <w:pStyle w:val="ListParagraph"/>
        <w:numPr>
          <w:ilvl w:val="0"/>
          <w:numId w:val="2"/>
        </w:numPr>
        <w:spacing w:after="60" w:line="276"/>
      </w:pPr>
      <w:r>
        <w:t xml:space="preserve">Pérdida, corrupción o indisponibilidad de una fuente clasificada como Crítica o Alta que no pueda resolverse dentro de su RTO.</w:t>
      </w:r>
    </w:p>
    <w:p>
      <w:pPr>
        <w:pStyle w:val="ListParagraph"/>
        <w:numPr>
          <w:ilvl w:val="0"/>
          <w:numId w:val="2"/>
        </w:numPr>
        <w:spacing w:after="60" w:line="276"/>
      </w:pPr>
      <w:r>
        <w:t xml:space="preserve">Evidencia de </w:t>
      </w:r>
      <w:r>
        <w:rPr>
          <w:i/>
          <w:iCs/>
        </w:rPr>
        <w:t xml:space="preserve">ransomware</w:t>
      </w:r>
      <w:r>
        <w:t xml:space="preserve">, borrado masivo o modificación no autorizada de información en cualquier fuente.</w:t>
      </w:r>
    </w:p>
    <w:p>
      <w:pPr>
        <w:pStyle w:val="ListParagraph"/>
        <w:numPr>
          <w:ilvl w:val="0"/>
          <w:numId w:val="2"/>
        </w:numPr>
        <w:spacing w:after="60" w:line="276"/>
      </w:pPr>
      <w:r>
        <w:t xml:space="preserve">Pérdida o compromiso del servidor de copias de seguridad, de sus repositorios o de sus credenciales administrativas.</w:t>
      </w:r>
    </w:p>
    <w:p>
      <w:pPr>
        <w:pStyle w:val="ListParagraph"/>
        <w:numPr>
          <w:ilvl w:val="0"/>
          <w:numId w:val="2"/>
        </w:numPr>
        <w:spacing w:after="60" w:line="276"/>
      </w:pPr>
      <w:r>
        <w:t xml:space="preserve">Afectación simultánea de dos o más fuentes de información.</w:t>
      </w:r>
    </w:p>
    <w:p>
      <w:pPr>
        <w:pStyle w:val="ListParagraph"/>
        <w:numPr>
          <w:ilvl w:val="0"/>
          <w:numId w:val="2"/>
        </w:numPr>
        <w:spacing w:after="60" w:line="276"/>
      </w:pPr>
      <w:r>
        <w:t xml:space="preserve">Decisión expresa de la Gerencia o del Coordinador del plan ante una situación de impacto equivalente.</w:t>
      </w:r>
    </w:p>
    <w:p>
      <w:pPr>
        <w:spacing w:after="120"/>
      </w:pPr>
      <w:r>
        <w:rPr>
          <w:b/>
          <w:bCs/>
        </w:rPr>
        <w:t xml:space="preserve">Responsable autorizado para declarar la activación: </w:t>
      </w:r>
      <w:r>
        <w:rPr>
          <w:color w:val="5F5E5A"/>
        </w:rPr>
        <w:t xml:space="preserve">________________________________________</w:t>
      </w:r>
    </w:p>
    <w:p>
      <w:pPr>
        <w:spacing w:after="120"/>
      </w:pPr>
      <w:r>
        <w:rPr>
          <w:b/>
          <w:bCs/>
        </w:rPr>
        <w:t xml:space="preserve">Suplente autorizado: </w:t>
      </w:r>
      <w:r>
        <w:rPr>
          <w:color w:val="5F5E5A"/>
        </w:rPr>
        <w:t xml:space="preserve">________________________________________</w:t>
      </w:r>
    </w:p>
    <w:p>
      <w:pPr>
        <w:pStyle w:val="Heading1"/>
      </w:pPr>
      <w:r>
        <w:t xml:space="preserve">4. Roles y responsabilidades</w:t>
      </w:r>
    </w:p>
    <w:p>
      <w:pPr>
        <w:spacing w:after="120" w:line="276"/>
        <w:jc w:val="both"/>
      </w:pPr>
      <w:r>
        <w:t xml:space="preserve">Los roles se asignan por cargo y no por nombre, de modo que el plan conserve su validez ante cambios de personal. En organizaciones pequeñas, una misma persona puede asumir más de un rol, salvo la verificación de los datos restaurados, que corresponde siempre al propietario de la información.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3519"/>
        <w:gridCol w:w="1368"/>
        <w:gridCol w:w="1368"/>
        <w:gridCol w:w="1567"/>
      </w:tblGrid>
      <w:tr>
        <w:trPr>
          <w:tblHeader/>
        </w:trPr>
        <w:tc>
          <w:tcPr>
            <w:tcW w:type="dxa" w:w="2150"/>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Rol</w:t>
            </w:r>
          </w:p>
        </w:tc>
        <w:tc>
          <w:tcPr>
            <w:tcW w:type="dxa" w:w="3519"/>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Responsabilidad principal</w:t>
            </w:r>
          </w:p>
        </w:tc>
        <w:tc>
          <w:tcPr>
            <w:tcW w:type="dxa" w:w="1368"/>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Principal</w:t>
            </w:r>
          </w:p>
        </w:tc>
        <w:tc>
          <w:tcPr>
            <w:tcW w:type="dxa" w:w="1368"/>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Suplente</w:t>
            </w:r>
          </w:p>
        </w:tc>
        <w:tc>
          <w:tcPr>
            <w:tcW w:type="dxa" w:w="1567"/>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Contacto fuera de horario</w:t>
            </w:r>
          </w:p>
        </w:tc>
      </w:tr>
      <w:tr>
        <w:tc>
          <w:tcPr>
            <w:tcW w:type="dxa" w:w="215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Coordinador del plan</w:t>
            </w:r>
          </w:p>
        </w:tc>
        <w:tc>
          <w:tcPr>
            <w:tcW w:type="dxa" w:w="351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Declara la activación, dirige la ejecución, autoriza la devolución a producción.</w:t>
            </w:r>
          </w:p>
        </w:tc>
        <w:tc>
          <w:tcPr>
            <w:tcW w:type="dxa" w:w="136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36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6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215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Equipo técnico de recuperación</w:t>
            </w:r>
          </w:p>
        </w:tc>
        <w:tc>
          <w:tcPr>
            <w:tcW w:type="dxa" w:w="351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Ejecuta contención, restauraciones y verificaciones técnicas.</w:t>
            </w:r>
          </w:p>
        </w:tc>
        <w:tc>
          <w:tcPr>
            <w:tcW w:type="dxa" w:w="136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36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6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215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Propietario de la información</w:t>
            </w:r>
          </w:p>
        </w:tc>
        <w:tc>
          <w:tcPr>
            <w:tcW w:type="dxa" w:w="351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Valida que los datos restaurados son completos y correctos para su dominio funcional.</w:t>
            </w:r>
          </w:p>
        </w:tc>
        <w:tc>
          <w:tcPr>
            <w:tcW w:type="dxa" w:w="136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36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6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215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Responsable de evidencia</w:t>
            </w:r>
          </w:p>
        </w:tc>
        <w:tc>
          <w:tcPr>
            <w:tcW w:type="dxa" w:w="351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Preserva registros y evidencia antes de restaurar; mantiene la bitácora (Anexo B).</w:t>
            </w:r>
          </w:p>
        </w:tc>
        <w:tc>
          <w:tcPr>
            <w:tcW w:type="dxa" w:w="136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36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6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215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Responsable de comunicaciones</w:t>
            </w:r>
          </w:p>
        </w:tc>
        <w:tc>
          <w:tcPr>
            <w:tcW w:type="dxa" w:w="351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Informa a la dirección, empleados, clientes y terceros según la sección 11.</w:t>
            </w:r>
          </w:p>
        </w:tc>
        <w:tc>
          <w:tcPr>
            <w:tcW w:type="dxa" w:w="136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36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6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215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Enlace con proveedores</w:t>
            </w:r>
          </w:p>
        </w:tc>
        <w:tc>
          <w:tcPr>
            <w:tcW w:type="dxa" w:w="351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Coordina con el soporte del software de respaldo, la nube, el ISP y la aseguradora.</w:t>
            </w:r>
          </w:p>
        </w:tc>
        <w:tc>
          <w:tcPr>
            <w:tcW w:type="dxa" w:w="136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36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6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bl>
    <w:p>
      <w:pPr>
        <w:pStyle w:val="Heading1"/>
      </w:pPr>
      <w:r>
        <w:t xml:space="preserve">5. Fuentes cubiertas, objetivos y orden de restauración</w:t>
      </w:r>
    </w:p>
    <w:p>
      <w:pPr>
        <w:spacing w:after="120" w:line="276"/>
        <w:jc w:val="both"/>
      </w:pPr>
      <w:r>
        <w:t xml:space="preserve">El orden de restauración combina la criticidad de cada fuente con sus dependencias técnicas: una aplicación no puede levantarse antes que su base de datos, ni esta antes que el directorio, el DNS y la conectividad de los que depende. Una fuente Crítica con dependencias pendientes se restaura después de ellas, aunque su criticidad sea mayor.</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4"/>
        <w:gridCol w:w="2323"/>
        <w:gridCol w:w="1161"/>
        <w:gridCol w:w="774"/>
        <w:gridCol w:w="774"/>
        <w:gridCol w:w="1258"/>
        <w:gridCol w:w="1549"/>
        <w:gridCol w:w="1359"/>
      </w:tblGrid>
      <w:tr>
        <w:trPr>
          <w:tblHeader/>
        </w:trPr>
        <w:tc>
          <w:tcPr>
            <w:tcW w:type="dxa" w:w="774"/>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Orden</w:t>
            </w:r>
          </w:p>
        </w:tc>
        <w:tc>
          <w:tcPr>
            <w:tcW w:type="dxa" w:w="2323"/>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Fuente de información</w:t>
            </w:r>
          </w:p>
        </w:tc>
        <w:tc>
          <w:tcPr>
            <w:tcW w:type="dxa" w:w="1161"/>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Criticidad</w:t>
            </w:r>
          </w:p>
        </w:tc>
        <w:tc>
          <w:tcPr>
            <w:tcW w:type="dxa" w:w="774"/>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RTO</w:t>
            </w:r>
          </w:p>
        </w:tc>
        <w:tc>
          <w:tcPr>
            <w:tcW w:type="dxa" w:w="774"/>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RPO</w:t>
            </w:r>
          </w:p>
        </w:tc>
        <w:tc>
          <w:tcPr>
            <w:tcW w:type="dxa" w:w="1258"/>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Depende de</w:t>
            </w:r>
          </w:p>
        </w:tc>
        <w:tc>
          <w:tcPr>
            <w:tcW w:type="dxa" w:w="1549"/>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i/>
                <w:iCs/>
                <w:color w:val="1F3864"/>
                <w:sz w:val="19"/>
                <w:szCs w:val="19"/>
              </w:rPr>
              <w:t xml:space="preserve">Job</w:t>
            </w:r>
            <w:r>
              <w:rPr>
                <w:rFonts w:ascii="Calibri" w:cs="Calibri" w:eastAsia="Calibri" w:hAnsi="Calibri"/>
                <w:b/>
                <w:bCs/>
                <w:color w:val="1F3864"/>
                <w:sz w:val="19"/>
                <w:szCs w:val="19"/>
              </w:rPr>
              <w:t xml:space="preserve"> / repositorio</w:t>
            </w:r>
          </w:p>
        </w:tc>
        <w:tc>
          <w:tcPr>
            <w:tcW w:type="dxa" w:w="1359"/>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Propietario</w:t>
            </w:r>
          </w:p>
        </w:tc>
      </w:tr>
      <w:tr>
        <w:tc>
          <w:tcPr>
            <w:tcW w:type="dxa" w:w="77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w:t>
            </w:r>
          </w:p>
        </w:tc>
        <w:tc>
          <w:tcPr>
            <w:tcW w:type="dxa" w:w="232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Ej.: Directorio corporativo</w:t>
            </w:r>
          </w:p>
        </w:tc>
        <w:tc>
          <w:tcPr>
            <w:tcW w:type="dxa" w:w="116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Crítica</w:t>
            </w:r>
          </w:p>
        </w:tc>
        <w:tc>
          <w:tcPr>
            <w:tcW w:type="dxa" w:w="77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 h</w:t>
            </w:r>
          </w:p>
        </w:tc>
        <w:tc>
          <w:tcPr>
            <w:tcW w:type="dxa" w:w="77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24 h</w:t>
            </w:r>
          </w:p>
        </w:tc>
        <w:tc>
          <w:tcPr>
            <w:tcW w:type="dxa" w:w="125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w:t>
            </w:r>
          </w:p>
        </w:tc>
        <w:tc>
          <w:tcPr>
            <w:tcW w:type="dxa" w:w="154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35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77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w:t>
            </w:r>
          </w:p>
        </w:tc>
        <w:tc>
          <w:tcPr>
            <w:tcW w:type="dxa" w:w="232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Ej.: Base de datos ERP</w:t>
            </w:r>
          </w:p>
        </w:tc>
        <w:tc>
          <w:tcPr>
            <w:tcW w:type="dxa" w:w="116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Crítica</w:t>
            </w:r>
          </w:p>
        </w:tc>
        <w:tc>
          <w:tcPr>
            <w:tcW w:type="dxa" w:w="77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h</w:t>
            </w:r>
          </w:p>
        </w:tc>
        <w:tc>
          <w:tcPr>
            <w:tcW w:type="dxa" w:w="77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 h</w:t>
            </w:r>
          </w:p>
        </w:tc>
        <w:tc>
          <w:tcPr>
            <w:tcW w:type="dxa" w:w="125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Orden 1</w:t>
            </w:r>
          </w:p>
        </w:tc>
        <w:tc>
          <w:tcPr>
            <w:tcW w:type="dxa" w:w="154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35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77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w:t>
            </w:r>
          </w:p>
        </w:tc>
        <w:tc>
          <w:tcPr>
            <w:tcW w:type="dxa" w:w="232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Ej.: Servidor de archivos</w:t>
            </w:r>
          </w:p>
        </w:tc>
        <w:tc>
          <w:tcPr>
            <w:tcW w:type="dxa" w:w="116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Alta</w:t>
            </w:r>
          </w:p>
        </w:tc>
        <w:tc>
          <w:tcPr>
            <w:tcW w:type="dxa" w:w="77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h</w:t>
            </w:r>
          </w:p>
        </w:tc>
        <w:tc>
          <w:tcPr>
            <w:tcW w:type="dxa" w:w="77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24 h</w:t>
            </w:r>
          </w:p>
        </w:tc>
        <w:tc>
          <w:tcPr>
            <w:tcW w:type="dxa" w:w="125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Orden 1</w:t>
            </w:r>
          </w:p>
        </w:tc>
        <w:tc>
          <w:tcPr>
            <w:tcW w:type="dxa" w:w="154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35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77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232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16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77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77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5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4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35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77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232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16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77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77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5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4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35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77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232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16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77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77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5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4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35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77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232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16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77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77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5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4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35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bl>
    <w:p>
      <w:pPr>
        <w:pBdr>
          <w:top w:val="single" w:color="E36C09" w:sz="8" w:space="6"/>
          <w:left w:val="single" w:color="E36C09" w:sz="8" w:space="6"/>
          <w:bottom w:val="single" w:color="E36C09" w:sz="8" w:space="6"/>
          <w:right w:val="single" w:color="E36C09" w:sz="8" w:space="6"/>
        </w:pBdr>
        <w:shd w:fill="FDF3EA" w:color="auto" w:val="clear"/>
        <w:spacing w:after="200" w:before="160" w:line="276"/>
        <w:ind w:left="120" w:right="120"/>
        <w:jc w:val="both"/>
      </w:pPr>
      <w:r>
        <w:rPr>
          <w:b/>
          <w:bCs/>
          <w:color w:val="E36C09"/>
        </w:rPr>
        <w:t xml:space="preserve">Nota práctica: </w:t>
      </w:r>
      <w:r>
        <w:t xml:space="preserve">Los valores de RTO y RPO de esta tabla deben ser coherentes con la frecuencia y el tipo de copia definidos en la Política de Copias de Seguridad. Un RPO de una hora es inalcanzable si la fuente solo se respalda una vez al día; si existe esa diferencia, debe corregirse la política o renegociarse el objetivo con la dirección.</w:t>
      </w:r>
    </w:p>
    <w:p>
      <w:pPr>
        <w:pStyle w:val="Heading1"/>
      </w:pPr>
      <w:r>
        <w:t xml:space="preserve">6. Procedimiento general ante la activación</w:t>
      </w:r>
    </w:p>
    <w:p>
      <w:pPr>
        <w:spacing w:after="120" w:line="276"/>
        <w:jc w:val="both"/>
      </w:pPr>
      <w:r>
        <w:t xml:space="preserve">Este procedimiento rige toda activación de Nivel 2. Los procedimientos técnicos de la sección 7 se ejecutan dentro del paso 6.</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8"/>
        <w:gridCol w:w="5983"/>
        <w:gridCol w:w="1794"/>
        <w:gridCol w:w="1497"/>
      </w:tblGrid>
      <w:tr>
        <w:trPr>
          <w:tblHeader/>
        </w:trPr>
        <w:tc>
          <w:tcPr>
            <w:tcW w:type="dxa" w:w="698"/>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Paso</w:t>
            </w:r>
          </w:p>
        </w:tc>
        <w:tc>
          <w:tcPr>
            <w:tcW w:type="dxa" w:w="5983"/>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Acción</w:t>
            </w:r>
          </w:p>
        </w:tc>
        <w:tc>
          <w:tcPr>
            <w:tcW w:type="dxa" w:w="1794"/>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Responsable</w:t>
            </w:r>
          </w:p>
        </w:tc>
        <w:tc>
          <w:tcPr>
            <w:tcW w:type="dxa" w:w="1497"/>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Tiempo est.</w:t>
            </w:r>
          </w:p>
        </w:tc>
      </w:tr>
      <w:tr>
        <w:tc>
          <w:tcPr>
            <w:tcW w:type="dxa" w:w="69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w:t>
            </w:r>
          </w:p>
        </w:tc>
        <w:tc>
          <w:tcPr>
            <w:tcW w:type="dxa" w:w="598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Declarar la activación, abrir la bitácora (Anexo B) y convocar al equipo por el canal alterno definido.</w:t>
            </w:r>
          </w:p>
        </w:tc>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Coordinador</w:t>
            </w:r>
          </w:p>
        </w:tc>
        <w:tc>
          <w:tcPr>
            <w:tcW w:type="dxa" w:w="14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15 min</w:t>
            </w:r>
          </w:p>
        </w:tc>
      </w:tr>
      <w:tr>
        <w:tc>
          <w:tcPr>
            <w:tcW w:type="dxa" w:w="69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w:t>
            </w:r>
          </w:p>
        </w:tc>
        <w:tc>
          <w:tcPr>
            <w:tcW w:type="dxa" w:w="598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Contener: aislar de la red los equipos y repositorios afectados; deshabilitar cuentas comprometidas o sospechosas. No apagar equipos con indicios de ataque sin antes preservar evidencia.</w:t>
            </w:r>
          </w:p>
        </w:tc>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Equipo técnico</w:t>
            </w:r>
          </w:p>
        </w:tc>
        <w:tc>
          <w:tcPr>
            <w:tcW w:type="dxa" w:w="14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30 min</w:t>
            </w:r>
          </w:p>
        </w:tc>
      </w:tr>
      <w:tr>
        <w:tc>
          <w:tcPr>
            <w:tcW w:type="dxa" w:w="69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w:t>
            </w:r>
          </w:p>
        </w:tc>
        <w:tc>
          <w:tcPr>
            <w:tcW w:type="dxa" w:w="598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Verificar la integridad del servidor de copias: confirmar que no fue alcanzado por el incidente y que las copias inmutables y fuera de línea siguen disponibles.</w:t>
            </w:r>
          </w:p>
        </w:tc>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Equipo técnico</w:t>
            </w:r>
          </w:p>
        </w:tc>
        <w:tc>
          <w:tcPr>
            <w:tcW w:type="dxa" w:w="14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30 min</w:t>
            </w:r>
          </w:p>
        </w:tc>
      </w:tr>
      <w:tr>
        <w:tc>
          <w:tcPr>
            <w:tcW w:type="dxa" w:w="69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w:t>
            </w:r>
          </w:p>
        </w:tc>
        <w:tc>
          <w:tcPr>
            <w:tcW w:type="dxa" w:w="598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Preservar evidencia: exportar registros del sistema de archivos, autenticación, alertas e historial de </w:t>
            </w:r>
            <w:r>
              <w:rPr>
                <w:rFonts w:ascii="Calibri" w:cs="Calibri" w:eastAsia="Calibri" w:hAnsi="Calibri"/>
                <w:b w:val="false"/>
                <w:bCs w:val="false"/>
                <w:i/>
                <w:iCs/>
                <w:sz w:val="19"/>
                <w:szCs w:val="19"/>
              </w:rPr>
              <w:t xml:space="preserve">jobs</w:t>
            </w:r>
            <w:r>
              <w:rPr>
                <w:rFonts w:ascii="Calibri" w:cs="Calibri" w:eastAsia="Calibri" w:hAnsi="Calibri"/>
                <w:b w:val="false"/>
                <w:bCs w:val="false"/>
                <w:sz w:val="19"/>
                <w:szCs w:val="19"/>
              </w:rPr>
              <w:t xml:space="preserve">; tomar una copia del estado actual de los sistemas afectados.</w:t>
            </w:r>
          </w:p>
        </w:tc>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Resp. evidencia</w:t>
            </w:r>
          </w:p>
        </w:tc>
        <w:tc>
          <w:tcPr>
            <w:tcW w:type="dxa" w:w="14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 h</w:t>
            </w:r>
          </w:p>
        </w:tc>
      </w:tr>
      <w:tr>
        <w:tc>
          <w:tcPr>
            <w:tcW w:type="dxa" w:w="69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5</w:t>
            </w:r>
          </w:p>
        </w:tc>
        <w:tc>
          <w:tcPr>
            <w:tcW w:type="dxa" w:w="598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Determinar el alcance y seleccionar, para cada fuente, el punto de recuperación (último punto limpio si hubo ataque; ver 7.5).</w:t>
            </w:r>
          </w:p>
        </w:tc>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Equipo técnico</w:t>
            </w:r>
          </w:p>
        </w:tc>
        <w:tc>
          <w:tcPr>
            <w:tcW w:type="dxa" w:w="14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Variable</w:t>
            </w:r>
          </w:p>
        </w:tc>
      </w:tr>
      <w:tr>
        <w:tc>
          <w:tcPr>
            <w:tcW w:type="dxa" w:w="69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w:t>
            </w:r>
          </w:p>
        </w:tc>
        <w:tc>
          <w:tcPr>
            <w:tcW w:type="dxa" w:w="598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Restaurar en el orden definido en la sección 5, aplicando el procedimiento técnico que corresponda (sección 7).</w:t>
            </w:r>
          </w:p>
        </w:tc>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Equipo técnico</w:t>
            </w:r>
          </w:p>
        </w:tc>
        <w:tc>
          <w:tcPr>
            <w:tcW w:type="dxa" w:w="14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Según RTO</w:t>
            </w:r>
          </w:p>
        </w:tc>
      </w:tr>
      <w:tr>
        <w:tc>
          <w:tcPr>
            <w:tcW w:type="dxa" w:w="69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7</w:t>
            </w:r>
          </w:p>
        </w:tc>
        <w:tc>
          <w:tcPr>
            <w:tcW w:type="dxa" w:w="598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Verificar la integridad de los datos restaurados según la sección 9 y obtener la validación del propietario de la información.</w:t>
            </w:r>
          </w:p>
        </w:tc>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Propietario</w:t>
            </w:r>
          </w:p>
        </w:tc>
        <w:tc>
          <w:tcPr>
            <w:tcW w:type="dxa" w:w="14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Variable</w:t>
            </w:r>
          </w:p>
        </w:tc>
      </w:tr>
      <w:tr>
        <w:tc>
          <w:tcPr>
            <w:tcW w:type="dxa" w:w="69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w:t>
            </w:r>
          </w:p>
        </w:tc>
        <w:tc>
          <w:tcPr>
            <w:tcW w:type="dxa" w:w="598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Rotar credenciales administrativas y de servicio de los sistemas restaurados antes de reconectarlos.</w:t>
            </w:r>
          </w:p>
        </w:tc>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Equipo técnico</w:t>
            </w:r>
          </w:p>
        </w:tc>
        <w:tc>
          <w:tcPr>
            <w:tcW w:type="dxa" w:w="14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 h</w:t>
            </w:r>
          </w:p>
        </w:tc>
      </w:tr>
      <w:tr>
        <w:tc>
          <w:tcPr>
            <w:tcW w:type="dxa" w:w="69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w:t>
            </w:r>
          </w:p>
        </w:tc>
        <w:tc>
          <w:tcPr>
            <w:tcW w:type="dxa" w:w="598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Autorizar la devolución a producción y activar monitorización reforzada sobre las fuentes restauradas.</w:t>
            </w:r>
          </w:p>
        </w:tc>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Coordinador</w:t>
            </w:r>
          </w:p>
        </w:tc>
        <w:tc>
          <w:tcPr>
            <w:tcW w:type="dxa" w:w="14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30 min</w:t>
            </w:r>
          </w:p>
        </w:tc>
      </w:tr>
      <w:tr>
        <w:tc>
          <w:tcPr>
            <w:tcW w:type="dxa" w:w="69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10</w:t>
            </w:r>
          </w:p>
        </w:tc>
        <w:tc>
          <w:tcPr>
            <w:tcW w:type="dxa" w:w="598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Cerrar la activación, comunicar el restablecimiento y programar el análisis </w:t>
            </w:r>
            <w:r>
              <w:rPr>
                <w:rFonts w:ascii="Calibri" w:cs="Calibri" w:eastAsia="Calibri" w:hAnsi="Calibri"/>
                <w:b w:val="false"/>
                <w:bCs w:val="false"/>
                <w:i/>
                <w:iCs/>
                <w:sz w:val="19"/>
                <w:szCs w:val="19"/>
              </w:rPr>
              <w:t xml:space="preserve">post-mortem</w:t>
            </w:r>
            <w:r>
              <w:rPr>
                <w:rFonts w:ascii="Calibri" w:cs="Calibri" w:eastAsia="Calibri" w:hAnsi="Calibri"/>
                <w:b w:val="false"/>
                <w:bCs w:val="false"/>
                <w:sz w:val="19"/>
                <w:szCs w:val="19"/>
              </w:rPr>
              <w:t xml:space="preserve"> (sección 13).</w:t>
            </w:r>
          </w:p>
        </w:tc>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Coordinador</w:t>
            </w:r>
          </w:p>
        </w:tc>
        <w:tc>
          <w:tcPr>
            <w:tcW w:type="dxa" w:w="14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 h</w:t>
            </w:r>
          </w:p>
        </w:tc>
      </w:tr>
    </w:tbl>
    <w:p>
      <w:pPr>
        <w:pStyle w:val="Heading1"/>
      </w:pPr>
      <w:r>
        <w:t xml:space="preserve">7. Procedimientos técnicos de restauración</w:t>
      </w:r>
    </w:p>
    <w:p>
      <w:pPr>
        <w:spacing w:after="120" w:line="276"/>
        <w:jc w:val="both"/>
      </w:pPr>
      <w:r>
        <w:t xml:space="preserve">Antes de iniciar cualquiera de los siguientes procedimientos, genere una copia del estado actual de la fuente afectada —incluidos los archivos dañados o cifrados—. Esta copia permite volver al punto de partida si la restauración falla y sirve de referencia para el análisis forense. Toda restauración se registra en la Mesa de Ayuda y en la sección 12.</w:t>
      </w:r>
    </w:p>
    <w:p>
      <w:pPr>
        <w:pStyle w:val="Heading2"/>
      </w:pPr>
      <w:r>
        <w:t xml:space="preserve">7.1 Archivo o directorio individual</w:t>
      </w:r>
    </w:p>
    <w:p>
      <w:pPr>
        <w:spacing w:after="120" w:line="276"/>
        <w:jc w:val="both"/>
      </w:pPr>
      <w:r>
        <w:t xml:space="preserve">Usar cuando se requiere recuperar archivos o carpetas específicos sin afectar el resto de la fuente.</w:t>
      </w:r>
    </w:p>
    <w:p>
      <w:pPr>
        <w:pStyle w:val="ListParagraph"/>
        <w:numPr>
          <w:ilvl w:val="0"/>
          <w:numId w:val="3"/>
        </w:numPr>
        <w:spacing w:after="60" w:line="276"/>
      </w:pPr>
      <w:r>
        <w:t xml:space="preserve">Verificar si el elemento puede recuperarse desde la papelera de reciclaje o las versiones anteriores del sistema de archivos (</w:t>
      </w:r>
      <w:r>
        <w:rPr>
          <w:i/>
          <w:iCs/>
        </w:rPr>
        <w:t xml:space="preserve">shadow copies</w:t>
      </w:r>
      <w:r>
        <w:t xml:space="preserve">); de ser así, recuperarlo desde allí.</w:t>
      </w:r>
    </w:p>
    <w:p>
      <w:pPr>
        <w:pStyle w:val="ListParagraph"/>
        <w:numPr>
          <w:ilvl w:val="0"/>
          <w:numId w:val="3"/>
        </w:numPr>
        <w:spacing w:after="60" w:line="276"/>
      </w:pPr>
      <w:r>
        <w:t xml:space="preserve">Abrir la consola del software de respaldo con la cuenta </w:t>
      </w:r>
      <w:r>
        <w:rPr>
          <w:rFonts w:ascii="Courier New" w:cs="Courier New" w:eastAsia="Courier New" w:hAnsi="Courier New"/>
          <w:sz w:val="20"/>
          <w:szCs w:val="20"/>
        </w:rPr>
        <w:t xml:space="preserve">restore-user</w:t>
      </w:r>
      <w:r>
        <w:t xml:space="preserve">.</w:t>
      </w:r>
    </w:p>
    <w:p>
      <w:pPr>
        <w:pStyle w:val="ListParagraph"/>
        <w:numPr>
          <w:ilvl w:val="0"/>
          <w:numId w:val="3"/>
        </w:numPr>
        <w:spacing w:after="60" w:line="276"/>
      </w:pPr>
      <w:r>
        <w:t xml:space="preserve">Seleccionar el </w:t>
      </w:r>
      <w:r>
        <w:rPr>
          <w:i/>
          <w:iCs/>
        </w:rPr>
        <w:t xml:space="preserve">job</w:t>
      </w:r>
      <w:r>
        <w:t xml:space="preserve"> de la fuente y el punto de recuperación inmediatamente anterior al evento.</w:t>
      </w:r>
    </w:p>
    <w:p>
      <w:pPr>
        <w:pStyle w:val="ListParagraph"/>
        <w:numPr>
          <w:ilvl w:val="0"/>
          <w:numId w:val="3"/>
        </w:numPr>
        <w:spacing w:after="60" w:line="276"/>
      </w:pPr>
      <w:r>
        <w:t xml:space="preserve">Restaurar hacia una ruta alternativa; no sobrescribir la ubicación original hasta verificar el contenido.</w:t>
      </w:r>
    </w:p>
    <w:p>
      <w:pPr>
        <w:pStyle w:val="ListParagraph"/>
        <w:numPr>
          <w:ilvl w:val="0"/>
          <w:numId w:val="3"/>
        </w:numPr>
        <w:spacing w:after="60" w:line="276"/>
      </w:pPr>
      <w:r>
        <w:t xml:space="preserve">Solicitar al usuario o al propietario de la información la confirmación de que el archivo es el esperado.</w:t>
      </w:r>
    </w:p>
    <w:p>
      <w:pPr>
        <w:pStyle w:val="ListParagraph"/>
        <w:numPr>
          <w:ilvl w:val="0"/>
          <w:numId w:val="3"/>
        </w:numPr>
        <w:spacing w:after="60" w:line="276"/>
      </w:pPr>
      <w:r>
        <w:t xml:space="preserve">Mover el archivo a su ubicación definitiva y verificar que los permisos coinciden con los de la carpeta de origen.</w:t>
      </w:r>
    </w:p>
    <w:p>
      <w:pPr>
        <w:pStyle w:val="Heading2"/>
      </w:pPr>
      <w:r>
        <w:t xml:space="preserve">7.2 Base de datos</w:t>
      </w:r>
    </w:p>
    <w:p>
      <w:pPr>
        <w:spacing w:after="120" w:line="276"/>
        <w:jc w:val="both"/>
      </w:pPr>
      <w:r>
        <w:t xml:space="preserve">Usar cuando la afectación involucra uno o más esquemas o bases de datos completas (SQL Server, MySQL/MariaDB, PostgreSQL u otro motor).</w:t>
      </w:r>
    </w:p>
    <w:p>
      <w:pPr>
        <w:pStyle w:val="ListParagraph"/>
        <w:numPr>
          <w:ilvl w:val="0"/>
          <w:numId w:val="4"/>
        </w:numPr>
        <w:spacing w:after="60" w:line="276"/>
      </w:pPr>
      <w:r>
        <w:t xml:space="preserve">Detener la aplicación o el servicio que consume la base de datos para evitar escrituras concurrentes.</w:t>
      </w:r>
    </w:p>
    <w:p>
      <w:pPr>
        <w:pStyle w:val="ListParagraph"/>
        <w:numPr>
          <w:ilvl w:val="0"/>
          <w:numId w:val="4"/>
        </w:numPr>
        <w:spacing w:after="60" w:line="276"/>
      </w:pPr>
      <w:r>
        <w:t xml:space="preserve">Respaldar el estado actual de la base de datos, incluso si está dañada o cifrada.</w:t>
      </w:r>
    </w:p>
    <w:p>
      <w:pPr>
        <w:pStyle w:val="ListParagraph"/>
        <w:numPr>
          <w:ilvl w:val="0"/>
          <w:numId w:val="4"/>
        </w:numPr>
        <w:spacing w:after="60" w:line="276"/>
      </w:pPr>
      <w:r>
        <w:t xml:space="preserve">Identificar el punto de recuperación que cumpla el RPO; si el motor conserva registros de transacciones, determinar si es posible una restauración a un instante específico.</w:t>
      </w:r>
    </w:p>
    <w:p>
      <w:pPr>
        <w:pStyle w:val="ListParagraph"/>
        <w:numPr>
          <w:ilvl w:val="0"/>
          <w:numId w:val="4"/>
        </w:numPr>
        <w:spacing w:after="60" w:line="276"/>
      </w:pPr>
      <w:r>
        <w:t xml:space="preserve">Restaurar hacia una instancia o esquema de prueba, nunca directamente sobre producción.</w:t>
      </w:r>
    </w:p>
    <w:p>
      <w:pPr>
        <w:pStyle w:val="ListParagraph"/>
        <w:numPr>
          <w:ilvl w:val="0"/>
          <w:numId w:val="4"/>
        </w:numPr>
        <w:spacing w:after="60" w:line="276"/>
      </w:pPr>
      <w:r>
        <w:t xml:space="preserve">Verificar conectividad, consistencia de tablas y presencia de los registros más recientes esperados.</w:t>
      </w:r>
    </w:p>
    <w:p>
      <w:pPr>
        <w:pStyle w:val="ListParagraph"/>
        <w:numPr>
          <w:ilvl w:val="0"/>
          <w:numId w:val="4"/>
        </w:numPr>
        <w:spacing w:after="60" w:line="276"/>
      </w:pPr>
      <w:r>
        <w:t xml:space="preserve">Con la validación del propietario de la información, promover la instancia restaurada a producción o redirigir la aplicación hacia ella.</w:t>
      </w:r>
    </w:p>
    <w:p>
      <w:pPr>
        <w:pStyle w:val="ListParagraph"/>
        <w:numPr>
          <w:ilvl w:val="0"/>
          <w:numId w:val="4"/>
        </w:numPr>
        <w:spacing w:after="60" w:line="276"/>
      </w:pPr>
      <w:r>
        <w:t xml:space="preserve">Reiniciar la aplicación y confirmar la operación con un usuario funcional.</w:t>
      </w:r>
    </w:p>
    <w:p>
      <w:pPr>
        <w:pStyle w:val="Heading2"/>
      </w:pPr>
      <w:r>
        <w:t xml:space="preserve">7.3 Sistema completo (bare metal o máquina virtual)</w:t>
      </w:r>
    </w:p>
    <w:p>
      <w:pPr>
        <w:spacing w:after="120" w:line="276"/>
        <w:jc w:val="both"/>
      </w:pPr>
      <w:r>
        <w:t xml:space="preserve">Usar cuando el servidor es irrecuperable y debe reconstruirse a partir de una imagen completa.</w:t>
      </w:r>
    </w:p>
    <w:p>
      <w:pPr>
        <w:pStyle w:val="ListParagraph"/>
        <w:numPr>
          <w:ilvl w:val="0"/>
          <w:numId w:val="5"/>
        </w:numPr>
        <w:spacing w:after="60" w:line="276"/>
      </w:pPr>
      <w:r>
        <w:t xml:space="preserve">Confirmar que el incidente fue contenido. No restaurar sobre un entorno que permanece comprometido.</w:t>
      </w:r>
    </w:p>
    <w:p>
      <w:pPr>
        <w:pStyle w:val="ListParagraph"/>
        <w:numPr>
          <w:ilvl w:val="0"/>
          <w:numId w:val="5"/>
        </w:numPr>
        <w:spacing w:after="60" w:line="276"/>
      </w:pPr>
      <w:r>
        <w:t xml:space="preserve">Preparar el equipo o la máquina virtual de destino con capacidad igual o superior a la original.</w:t>
      </w:r>
    </w:p>
    <w:p>
      <w:pPr>
        <w:pStyle w:val="ListParagraph"/>
        <w:numPr>
          <w:ilvl w:val="0"/>
          <w:numId w:val="5"/>
        </w:numPr>
        <w:spacing w:after="60" w:line="276"/>
      </w:pPr>
      <w:r>
        <w:t xml:space="preserve">Arrancar desde el medio de recuperación del software de respaldo o, en entornos virtualizados, iniciar la restauración desde la consola del hipervisor.</w:t>
      </w:r>
    </w:p>
    <w:p>
      <w:pPr>
        <w:pStyle w:val="ListParagraph"/>
        <w:numPr>
          <w:ilvl w:val="0"/>
          <w:numId w:val="5"/>
        </w:numPr>
        <w:spacing w:after="60" w:line="276"/>
      </w:pPr>
      <w:r>
        <w:t xml:space="preserve">Conectar al repositorio de copias con la cuenta </w:t>
      </w:r>
      <w:r>
        <w:rPr>
          <w:rFonts w:ascii="Courier New" w:cs="Courier New" w:eastAsia="Courier New" w:hAnsi="Courier New"/>
          <w:sz w:val="20"/>
          <w:szCs w:val="20"/>
        </w:rPr>
        <w:t xml:space="preserve">restore-user</w:t>
      </w:r>
      <w:r>
        <w:t xml:space="preserve"> y seleccionar el punto de recuperación.</w:t>
      </w:r>
    </w:p>
    <w:p>
      <w:pPr>
        <w:pStyle w:val="ListParagraph"/>
        <w:numPr>
          <w:ilvl w:val="0"/>
          <w:numId w:val="5"/>
        </w:numPr>
        <w:spacing w:after="60" w:line="276"/>
      </w:pPr>
      <w:r>
        <w:t xml:space="preserve">Ejecutar la restauración en un segmento de red aislado.</w:t>
      </w:r>
    </w:p>
    <w:p>
      <w:pPr>
        <w:pStyle w:val="ListParagraph"/>
        <w:numPr>
          <w:ilvl w:val="0"/>
          <w:numId w:val="5"/>
        </w:numPr>
        <w:spacing w:after="60" w:line="276"/>
      </w:pPr>
      <w:r>
        <w:t xml:space="preserve">Verificar servicios, conectividad, integridad de datos y funcionamiento de las aplicaciones.</w:t>
      </w:r>
    </w:p>
    <w:p>
      <w:pPr>
        <w:pStyle w:val="ListParagraph"/>
        <w:numPr>
          <w:ilvl w:val="0"/>
          <w:numId w:val="5"/>
        </w:numPr>
        <w:spacing w:after="60" w:line="276"/>
      </w:pPr>
      <w:r>
        <w:t xml:space="preserve">Aplicar parches pendientes y rotar las credenciales administrativas antes de reconectar a la red de producción.</w:t>
      </w:r>
    </w:p>
    <w:p>
      <w:pPr>
        <w:pStyle w:val="Heading2"/>
      </w:pPr>
      <w:r>
        <w:t xml:space="preserve">7.4 Repositorios en la nube (Microsoft 365 y Google Workspace)</w:t>
      </w:r>
    </w:p>
    <w:p>
      <w:pPr>
        <w:spacing w:after="120" w:line="276"/>
        <w:jc w:val="both"/>
      </w:pPr>
      <w:r>
        <w:t xml:space="preserve">Las plataformas de colaboración ofrecen mecanismos nativos de recuperación con ventanas de tiempo limitadas. Estos mecanismos no sustituyen una copia de seguridad independiente.</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4"/>
        <w:gridCol w:w="2991"/>
        <w:gridCol w:w="1595"/>
        <w:gridCol w:w="3392"/>
      </w:tblGrid>
      <w:tr>
        <w:trPr>
          <w:tblHeader/>
        </w:trPr>
        <w:tc>
          <w:tcPr>
            <w:tcW w:type="dxa" w:w="1994"/>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Plataforma</w:t>
            </w:r>
          </w:p>
        </w:tc>
        <w:tc>
          <w:tcPr>
            <w:tcW w:type="dxa" w:w="2991"/>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Mecanismo nativo</w:t>
            </w:r>
          </w:p>
        </w:tc>
        <w:tc>
          <w:tcPr>
            <w:tcW w:type="dxa" w:w="1595"/>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Ventana disponible</w:t>
            </w:r>
          </w:p>
        </w:tc>
        <w:tc>
          <w:tcPr>
            <w:tcW w:type="dxa" w:w="3392"/>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Uso recomendado</w:t>
            </w:r>
          </w:p>
        </w:tc>
      </w:tr>
      <w:tr>
        <w:tc>
          <w:tcPr>
            <w:tcW w:type="dxa" w:w="19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SharePoint / OneDrive</w:t>
            </w:r>
          </w:p>
        </w:tc>
        <w:tc>
          <w:tcPr>
            <w:tcW w:type="dxa" w:w="29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Papelera de reciclaje (dos etapas)</w:t>
            </w:r>
          </w:p>
        </w:tc>
        <w:tc>
          <w:tcPr>
            <w:tcW w:type="dxa" w:w="15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93 días</w:t>
            </w:r>
          </w:p>
        </w:tc>
        <w:tc>
          <w:tcPr>
            <w:tcW w:type="dxa" w:w="3392"/>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Elementos eliminados de forma puntual.</w:t>
            </w:r>
          </w:p>
        </w:tc>
      </w:tr>
      <w:tr>
        <w:tc>
          <w:tcPr>
            <w:tcW w:type="dxa" w:w="19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SharePoint / OneDrive</w:t>
            </w:r>
          </w:p>
        </w:tc>
        <w:tc>
          <w:tcPr>
            <w:tcW w:type="dxa" w:w="299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Restaurar biblioteca o OneDrive a una fecha anterior</w:t>
            </w:r>
          </w:p>
        </w:tc>
        <w:tc>
          <w:tcPr>
            <w:tcW w:type="dxa" w:w="15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30 días</w:t>
            </w:r>
          </w:p>
        </w:tc>
        <w:tc>
          <w:tcPr>
            <w:tcW w:type="dxa" w:w="3392"/>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Eliminación o cifrado masivo; revierte todos los cambios posteriores a la fecha elegida.</w:t>
            </w:r>
          </w:p>
        </w:tc>
      </w:tr>
      <w:tr>
        <w:tc>
          <w:tcPr>
            <w:tcW w:type="dxa" w:w="19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Google Drive</w:t>
            </w:r>
          </w:p>
        </w:tc>
        <w:tc>
          <w:tcPr>
            <w:tcW w:type="dxa" w:w="29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Restauración por el administrador tras vaciar la papelera</w:t>
            </w:r>
          </w:p>
        </w:tc>
        <w:tc>
          <w:tcPr>
            <w:tcW w:type="dxa" w:w="15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25 días</w:t>
            </w:r>
          </w:p>
        </w:tc>
        <w:tc>
          <w:tcPr>
            <w:tcW w:type="dxa" w:w="3392"/>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Recupera todos los elementos eliminados en un rango de fechas; no permite elegir archivos individuales.</w:t>
            </w:r>
          </w:p>
        </w:tc>
      </w:tr>
      <w:tr>
        <w:tc>
          <w:tcPr>
            <w:tcW w:type="dxa" w:w="19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Cualquiera</w:t>
            </w:r>
          </w:p>
        </w:tc>
        <w:tc>
          <w:tcPr>
            <w:tcW w:type="dxa" w:w="299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Copia de seguridad de terceros</w:t>
            </w:r>
          </w:p>
        </w:tc>
        <w:tc>
          <w:tcPr>
            <w:tcW w:type="dxa" w:w="15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Según la política</w:t>
            </w:r>
          </w:p>
        </w:tc>
        <w:tc>
          <w:tcPr>
            <w:tcW w:type="dxa" w:w="3392"/>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Incidentes detectados fuera de las ventanas nativas o pérdida de la cuenta.</w:t>
            </w:r>
          </w:p>
        </w:tc>
      </w:tr>
    </w:tbl>
    <w:p>
      <w:pPr>
        <w:spacing w:after="120"/>
      </w:pPr>
    </w:p>
    <w:p>
      <w:pPr>
        <w:pStyle w:val="ListParagraph"/>
        <w:numPr>
          <w:ilvl w:val="0"/>
          <w:numId w:val="6"/>
        </w:numPr>
        <w:spacing w:after="60" w:line="276"/>
      </w:pPr>
      <w:r>
        <w:t xml:space="preserve">Determinar la fecha y hora en que comenzó la eliminación o el cifrado, a partir del registro de auditoría de la plataforma.</w:t>
      </w:r>
    </w:p>
    <w:p>
      <w:pPr>
        <w:pStyle w:val="ListParagraph"/>
        <w:numPr>
          <w:ilvl w:val="0"/>
          <w:numId w:val="6"/>
        </w:numPr>
        <w:spacing w:after="60" w:line="276"/>
      </w:pPr>
      <w:r>
        <w:t xml:space="preserve">Si el origen es una cuenta comprometida, bloquearla y revocar sus sesiones y enlaces compartidos antes de restaurar.</w:t>
      </w:r>
    </w:p>
    <w:p>
      <w:pPr>
        <w:pStyle w:val="ListParagraph"/>
        <w:numPr>
          <w:ilvl w:val="0"/>
          <w:numId w:val="6"/>
        </w:numPr>
        <w:spacing w:after="60" w:line="276"/>
      </w:pPr>
      <w:r>
        <w:t xml:space="preserve">Elegir el mecanismo según la ventana disponible; si el evento supera la ventana nativa, restaurar desde la copia de terceros.</w:t>
      </w:r>
    </w:p>
    <w:p>
      <w:pPr>
        <w:pStyle w:val="ListParagraph"/>
        <w:numPr>
          <w:ilvl w:val="0"/>
          <w:numId w:val="6"/>
        </w:numPr>
        <w:spacing w:after="60" w:line="276"/>
      </w:pPr>
      <w:r>
        <w:t xml:space="preserve">Ejecutar la restauración a un momento anterior al inicio del evento y verificar con el propietario de la información.</w:t>
      </w:r>
    </w:p>
    <w:p>
      <w:pPr>
        <w:pStyle w:val="ListParagraph"/>
        <w:numPr>
          <w:ilvl w:val="0"/>
          <w:numId w:val="6"/>
        </w:numPr>
        <w:spacing w:after="60" w:line="276"/>
      </w:pPr>
      <w:r>
        <w:t xml:space="preserve">Documentar los cambios legítimos posteriores a esa fecha que se pierdan con la reversión, para su recuperación manual.</w:t>
      </w:r>
    </w:p>
    <w:p>
      <w:pPr>
        <w:pStyle w:val="Heading2"/>
      </w:pPr>
      <w:r>
        <w:t xml:space="preserve">7.5 Selección del último punto limpio ante ransomware</w:t>
      </w:r>
    </w:p>
    <w:p>
      <w:pPr>
        <w:spacing w:after="120" w:line="276"/>
        <w:jc w:val="both"/>
      </w:pPr>
      <w:r>
        <w:t xml:space="preserve">En un ataque de </w:t>
      </w:r>
      <w:r>
        <w:rPr>
          <w:i/>
          <w:iCs/>
        </w:rPr>
        <w:t xml:space="preserve">ransomware</w:t>
      </w:r>
      <w:r>
        <w:t xml:space="preserve"> la copia más reciente no es necesariamente la correcta: los atacantes suelen permanecer en la red días o semanas antes de cifrar, y pueden haber dejado accesos persistentes que la restauración reintroduciría.</w:t>
      </w:r>
    </w:p>
    <w:p>
      <w:pPr>
        <w:pStyle w:val="ListParagraph"/>
        <w:numPr>
          <w:ilvl w:val="0"/>
          <w:numId w:val="7"/>
        </w:numPr>
        <w:spacing w:after="60" w:line="276"/>
      </w:pPr>
      <w:r>
        <w:t xml:space="preserve">Establecer la fecha del compromiso inicial, no solo la del cifrado, a partir de los registros preservados y del análisis de los primeros indicadores.</w:t>
      </w:r>
    </w:p>
    <w:p>
      <w:pPr>
        <w:pStyle w:val="ListParagraph"/>
        <w:numPr>
          <w:ilvl w:val="0"/>
          <w:numId w:val="7"/>
        </w:numPr>
        <w:spacing w:after="60" w:line="276"/>
      </w:pPr>
      <w:r>
        <w:t xml:space="preserve">Seleccionar un punto de recuperación anterior al compromiso inicial; si no se conoce con certeza, comenzar por el más antiguo que cumpla un RPO aceptable para la dirección.</w:t>
      </w:r>
    </w:p>
    <w:p>
      <w:pPr>
        <w:pStyle w:val="ListParagraph"/>
        <w:numPr>
          <w:ilvl w:val="0"/>
          <w:numId w:val="7"/>
        </w:numPr>
        <w:spacing w:after="60" w:line="276"/>
      </w:pPr>
      <w:r>
        <w:t xml:space="preserve">Montar el punto de recuperación en un entorno aislado y analizarlo con el antivirus o EDR actualizado.</w:t>
      </w:r>
    </w:p>
    <w:p>
      <w:pPr>
        <w:pStyle w:val="ListParagraph"/>
        <w:numPr>
          <w:ilvl w:val="0"/>
          <w:numId w:val="7"/>
        </w:numPr>
        <w:spacing w:after="60" w:line="276"/>
      </w:pPr>
      <w:r>
        <w:t xml:space="preserve">Buscar indicadores del incidente: extensiones de archivo anómalas, notas de rescate, tareas programadas o cuentas desconocidas.</w:t>
      </w:r>
    </w:p>
    <w:p>
      <w:pPr>
        <w:pStyle w:val="ListParagraph"/>
        <w:numPr>
          <w:ilvl w:val="0"/>
          <w:numId w:val="7"/>
        </w:numPr>
        <w:spacing w:after="60" w:line="276"/>
      </w:pPr>
      <w:r>
        <w:t xml:space="preserve">Si el punto presenta indicadores, descartarlo y repetir con el inmediatamente anterior.</w:t>
      </w:r>
    </w:p>
    <w:p>
      <w:pPr>
        <w:pStyle w:val="ListParagraph"/>
        <w:numPr>
          <w:ilvl w:val="0"/>
          <w:numId w:val="7"/>
        </w:numPr>
        <w:spacing w:after="60" w:line="276"/>
      </w:pPr>
      <w:r>
        <w:t xml:space="preserve">Registrar en la bitácora el punto finalmente utilizado y la pérdida de datos resultante frente al RPO.</w:t>
      </w:r>
    </w:p>
    <w:p>
      <w:pPr>
        <w:pBdr>
          <w:top w:val="single" w:color="E36C09" w:sz="8" w:space="6"/>
          <w:left w:val="single" w:color="E36C09" w:sz="8" w:space="6"/>
          <w:bottom w:val="single" w:color="E36C09" w:sz="8" w:space="6"/>
          <w:right w:val="single" w:color="E36C09" w:sz="8" w:space="6"/>
        </w:pBdr>
        <w:shd w:fill="FDF3EA" w:color="auto" w:val="clear"/>
        <w:spacing w:after="200" w:before="160" w:line="276"/>
        <w:ind w:left="120" w:right="120"/>
        <w:jc w:val="both"/>
      </w:pPr>
      <w:r>
        <w:rPr>
          <w:b/>
          <w:bCs/>
          <w:color w:val="E36C09"/>
        </w:rPr>
        <w:t xml:space="preserve">Nota práctica: </w:t>
      </w:r>
      <w:r>
        <w:t xml:space="preserve">No conecte los repositorios de copias de seguridad a la red afectada hasta haber confirmado la contención. Un repositorio montado en un entorno todavía comprometido puede ser cifrado o eliminado durante la propia restauración.</w:t>
      </w:r>
    </w:p>
    <w:p>
      <w:pPr>
        <w:pStyle w:val="Heading1"/>
      </w:pPr>
      <w:r>
        <w:t xml:space="preserve">8. Matriz de decisión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85"/>
        <w:gridCol w:w="997"/>
        <w:gridCol w:w="3790"/>
      </w:tblGrid>
      <w:tr>
        <w:trPr>
          <w:tblHeader/>
        </w:trPr>
        <w:tc>
          <w:tcPr>
            <w:tcW w:type="dxa" w:w="5185"/>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Escenario</w:t>
            </w:r>
          </w:p>
        </w:tc>
        <w:tc>
          <w:tcPr>
            <w:tcW w:type="dxa" w:w="997"/>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Nivel</w:t>
            </w:r>
          </w:p>
        </w:tc>
        <w:tc>
          <w:tcPr>
            <w:tcW w:type="dxa" w:w="3790"/>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Procedimiento</w:t>
            </w:r>
          </w:p>
        </w:tc>
      </w:tr>
      <w:tr>
        <w:tc>
          <w:tcPr>
            <w:tcW w:type="dxa" w:w="518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Archivo o carpeta eliminado o dañado, sin indicios de ataque</w:t>
            </w:r>
          </w:p>
        </w:tc>
        <w:tc>
          <w:tcPr>
            <w:tcW w:type="dxa" w:w="9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w:t>
            </w:r>
          </w:p>
        </w:tc>
        <w:tc>
          <w:tcPr>
            <w:tcW w:type="dxa" w:w="379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7.1</w:t>
            </w:r>
          </w:p>
        </w:tc>
      </w:tr>
      <w:tr>
        <w:tc>
          <w:tcPr>
            <w:tcW w:type="dxa" w:w="518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Elementos eliminados en SharePoint, OneDrive o Google Drive</w:t>
            </w:r>
          </w:p>
        </w:tc>
        <w:tc>
          <w:tcPr>
            <w:tcW w:type="dxa" w:w="9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w:t>
            </w:r>
          </w:p>
        </w:tc>
        <w:tc>
          <w:tcPr>
            <w:tcW w:type="dxa" w:w="379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7.4</w:t>
            </w:r>
          </w:p>
        </w:tc>
      </w:tr>
      <w:tr>
        <w:tc>
          <w:tcPr>
            <w:tcW w:type="dxa" w:w="518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Base de datos dañada o inconsistente</w:t>
            </w:r>
          </w:p>
        </w:tc>
        <w:tc>
          <w:tcPr>
            <w:tcW w:type="dxa" w:w="9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w:t>
            </w:r>
          </w:p>
        </w:tc>
        <w:tc>
          <w:tcPr>
            <w:tcW w:type="dxa" w:w="379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+ 7.2</w:t>
            </w:r>
          </w:p>
        </w:tc>
      </w:tr>
      <w:tr>
        <w:tc>
          <w:tcPr>
            <w:tcW w:type="dxa" w:w="518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Servidor irrecuperable por falla de hardware</w:t>
            </w:r>
          </w:p>
        </w:tc>
        <w:tc>
          <w:tcPr>
            <w:tcW w:type="dxa" w:w="9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w:t>
            </w:r>
          </w:p>
        </w:tc>
        <w:tc>
          <w:tcPr>
            <w:tcW w:type="dxa" w:w="379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+ 7.3</w:t>
            </w:r>
          </w:p>
        </w:tc>
      </w:tr>
      <w:tr>
        <w:tc>
          <w:tcPr>
            <w:tcW w:type="dxa" w:w="518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Cifrado o borrado masivo por ransomware (local)</w:t>
            </w:r>
          </w:p>
        </w:tc>
        <w:tc>
          <w:tcPr>
            <w:tcW w:type="dxa" w:w="9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w:t>
            </w:r>
          </w:p>
        </w:tc>
        <w:tc>
          <w:tcPr>
            <w:tcW w:type="dxa" w:w="379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+ 7.5 + 7.1 / 7.2 / 7.3</w:t>
            </w:r>
          </w:p>
        </w:tc>
      </w:tr>
      <w:tr>
        <w:tc>
          <w:tcPr>
            <w:tcW w:type="dxa" w:w="518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Cifrado o borrado masivo en repositorio en la nube</w:t>
            </w:r>
          </w:p>
        </w:tc>
        <w:tc>
          <w:tcPr>
            <w:tcW w:type="dxa" w:w="9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w:t>
            </w:r>
          </w:p>
        </w:tc>
        <w:tc>
          <w:tcPr>
            <w:tcW w:type="dxa" w:w="379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+ 7.4</w:t>
            </w:r>
          </w:p>
        </w:tc>
      </w:tr>
      <w:tr>
        <w:tc>
          <w:tcPr>
            <w:tcW w:type="dxa" w:w="518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Pérdida o compromiso del servidor de copias</w:t>
            </w:r>
          </w:p>
        </w:tc>
        <w:tc>
          <w:tcPr>
            <w:tcW w:type="dxa" w:w="9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w:t>
            </w:r>
          </w:p>
        </w:tc>
        <w:tc>
          <w:tcPr>
            <w:tcW w:type="dxa" w:w="379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 sección 10 (copias fuera de línea e inmutables)</w:t>
            </w:r>
          </w:p>
        </w:tc>
      </w:tr>
      <w:tr>
        <w:tc>
          <w:tcPr>
            <w:tcW w:type="dxa" w:w="518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Múltiples fuentes afectadas simultáneamente</w:t>
            </w:r>
          </w:p>
        </w:tc>
        <w:tc>
          <w:tcPr>
            <w:tcW w:type="dxa" w:w="9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w:t>
            </w:r>
          </w:p>
        </w:tc>
        <w:tc>
          <w:tcPr>
            <w:tcW w:type="dxa" w:w="379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en el orden de la sección 5</w:t>
            </w:r>
          </w:p>
        </w:tc>
      </w:tr>
    </w:tbl>
    <w:p>
      <w:pPr>
        <w:pStyle w:val="Heading1"/>
      </w:pPr>
      <w:r>
        <w:t xml:space="preserve">9. Verificación y devolución a producción</w:t>
      </w:r>
    </w:p>
    <w:p>
      <w:pPr>
        <w:spacing w:after="120" w:line="276"/>
        <w:jc w:val="both"/>
      </w:pPr>
      <w:r>
        <w:t xml:space="preserve">Una fuente restaurada solo se devuelve a producción cuando cumple todos los criterios aplicables: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3"/>
        <w:gridCol w:w="6382"/>
        <w:gridCol w:w="1397"/>
      </w:tblGrid>
      <w:tr>
        <w:trPr>
          <w:tblHeader/>
        </w:trPr>
        <w:tc>
          <w:tcPr>
            <w:tcW w:type="dxa" w:w="2193"/>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Criterio</w:t>
            </w:r>
          </w:p>
        </w:tc>
        <w:tc>
          <w:tcPr>
            <w:tcW w:type="dxa" w:w="6382"/>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Método de verificación</w:t>
            </w:r>
          </w:p>
        </w:tc>
        <w:tc>
          <w:tcPr>
            <w:tcW w:type="dxa" w:w="1397"/>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Cumple (S/N)</w:t>
            </w:r>
          </w:p>
        </w:tc>
      </w:tr>
      <w:tr>
        <w:tc>
          <w:tcPr>
            <w:tcW w:type="dxa" w:w="219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Volumen</w:t>
            </w:r>
          </w:p>
        </w:tc>
        <w:tc>
          <w:tcPr>
            <w:tcW w:type="dxa" w:w="6382"/>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Cantidad de archivos o registros y tamaño total comparados con el inventario o con la última copia conocida.</w:t>
            </w:r>
          </w:p>
        </w:tc>
        <w:tc>
          <w:tcPr>
            <w:tcW w:type="dxa" w:w="13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219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Integridad</w:t>
            </w:r>
          </w:p>
        </w:tc>
        <w:tc>
          <w:tcPr>
            <w:tcW w:type="dxa" w:w="6382"/>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Apertura de una muestra de archivos de distintos tipos; verificación de consistencia del motor de base de datos.</w:t>
            </w:r>
          </w:p>
        </w:tc>
        <w:tc>
          <w:tcPr>
            <w:tcW w:type="dxa" w:w="13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219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Actualidad</w:t>
            </w:r>
          </w:p>
        </w:tc>
        <w:tc>
          <w:tcPr>
            <w:tcW w:type="dxa" w:w="6382"/>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Presencia de los registros o documentos más recientes esperados según el punto de recuperación.</w:t>
            </w:r>
          </w:p>
        </w:tc>
        <w:tc>
          <w:tcPr>
            <w:tcW w:type="dxa" w:w="13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219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Ausencia de amenazas</w:t>
            </w:r>
          </w:p>
        </w:tc>
        <w:tc>
          <w:tcPr>
            <w:tcW w:type="dxa" w:w="6382"/>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Análisis antivirus o EDR sin detecciones sobre el contenido restaurado.</w:t>
            </w:r>
          </w:p>
        </w:tc>
        <w:tc>
          <w:tcPr>
            <w:tcW w:type="dxa" w:w="13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219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Permisos</w:t>
            </w:r>
          </w:p>
        </w:tc>
        <w:tc>
          <w:tcPr>
            <w:tcW w:type="dxa" w:w="6382"/>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Permisos de carpetas y bases de datos coherentes con la matriz de accesos vigente.</w:t>
            </w:r>
          </w:p>
        </w:tc>
        <w:tc>
          <w:tcPr>
            <w:tcW w:type="dxa" w:w="13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219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Validación funcional</w:t>
            </w:r>
          </w:p>
        </w:tc>
        <w:tc>
          <w:tcPr>
            <w:tcW w:type="dxa" w:w="6382"/>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Confirmación firmada del propietario de la información.</w:t>
            </w:r>
          </w:p>
        </w:tc>
        <w:tc>
          <w:tcPr>
            <w:tcW w:type="dxa" w:w="13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bl>
    <w:p>
      <w:pPr>
        <w:pStyle w:val="Heading1"/>
      </w:pPr>
      <w:r>
        <w:t xml:space="preserve">10. Ubicación de copias y credenciales de emergencia</w:t>
      </w:r>
    </w:p>
    <w:p>
      <w:pPr>
        <w:spacing w:after="120" w:line="276"/>
        <w:jc w:val="both"/>
      </w:pPr>
      <w:r>
        <w:t xml:space="preserve">La consola del software de respaldo no debe depender del directorio corporativo para autenticarse: si el directorio es el sistema comprometido, el acceso a las copias se perdería en el momento en que más se necesita.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5"/>
        <w:gridCol w:w="1994"/>
        <w:gridCol w:w="1994"/>
        <w:gridCol w:w="1296"/>
        <w:gridCol w:w="1296"/>
        <w:gridCol w:w="1797"/>
      </w:tblGrid>
      <w:tr>
        <w:trPr>
          <w:tblHeader/>
        </w:trPr>
        <w:tc>
          <w:tcPr>
            <w:tcW w:type="dxa" w:w="1595"/>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Copia</w:t>
            </w:r>
          </w:p>
        </w:tc>
        <w:tc>
          <w:tcPr>
            <w:tcW w:type="dxa" w:w="1994"/>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Ubicación</w:t>
            </w:r>
          </w:p>
        </w:tc>
        <w:tc>
          <w:tcPr>
            <w:tcW w:type="dxa" w:w="1994"/>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Tipo (local / fuera de línea / nube)</w:t>
            </w:r>
          </w:p>
        </w:tc>
        <w:tc>
          <w:tcPr>
            <w:tcW w:type="dxa" w:w="1296"/>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Inmutable (S/N)</w:t>
            </w:r>
          </w:p>
        </w:tc>
        <w:tc>
          <w:tcPr>
            <w:tcW w:type="dxa" w:w="1296"/>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Retención</w:t>
            </w:r>
          </w:p>
        </w:tc>
        <w:tc>
          <w:tcPr>
            <w:tcW w:type="dxa" w:w="1797"/>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Accesible sin el dominio (S/N)</w:t>
            </w:r>
          </w:p>
        </w:tc>
      </w:tr>
      <w:tr>
        <w:tc>
          <w:tcPr>
            <w:tcW w:type="dxa" w:w="15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9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9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7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15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9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9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9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9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7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15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9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9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79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15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9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9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9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9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79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bl>
    <w:p>
      <w:pPr>
        <w:spacing w:after="120"/>
      </w:pPr>
    </w:p>
    <w:p>
      <w:pPr>
        <w:spacing w:after="120" w:line="276"/>
        <w:jc w:val="both"/>
      </w:pPr>
      <w:r>
        <w:t xml:space="preserve">Custodiar las credenciales en un medio separado del gestor de contraseñas principal (sobre sellado en caja fuerte o bóveda independiente). En esta tabla se registra la </w:t>
      </w:r>
      <w:r>
        <w:rPr>
          <w:b/>
          <w:bCs/>
        </w:rPr>
        <w:t xml:space="preserve">ubicación</w:t>
      </w:r>
      <w:r>
        <w:t xml:space="preserve"> de cada credencial, nunca su valor.</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1"/>
        <w:gridCol w:w="1794"/>
        <w:gridCol w:w="2991"/>
        <w:gridCol w:w="1996"/>
      </w:tblGrid>
      <w:tr>
        <w:trPr>
          <w:tblHeader/>
        </w:trPr>
        <w:tc>
          <w:tcPr>
            <w:tcW w:type="dxa" w:w="3191"/>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Recurso</w:t>
            </w:r>
          </w:p>
        </w:tc>
        <w:tc>
          <w:tcPr>
            <w:tcW w:type="dxa" w:w="1794"/>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Usuario</w:t>
            </w:r>
          </w:p>
        </w:tc>
        <w:tc>
          <w:tcPr>
            <w:tcW w:type="dxa" w:w="2991"/>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Ubicación de la credencial</w:t>
            </w:r>
          </w:p>
        </w:tc>
        <w:tc>
          <w:tcPr>
            <w:tcW w:type="dxa" w:w="1996"/>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Custodio</w:t>
            </w:r>
          </w:p>
        </w:tc>
      </w:tr>
      <w:tr>
        <w:tc>
          <w:tcPr>
            <w:tcW w:type="dxa" w:w="31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Consola del software de respaldo</w:t>
            </w:r>
          </w:p>
        </w:tc>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29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9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319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Repositorio local de copias</w:t>
            </w:r>
          </w:p>
        </w:tc>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299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99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31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Repositorio en la nube</w:t>
            </w:r>
          </w:p>
        </w:tc>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29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9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319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Clave de cifrado de las copias</w:t>
            </w:r>
          </w:p>
        </w:tc>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N/A</w:t>
            </w:r>
          </w:p>
        </w:tc>
        <w:tc>
          <w:tcPr>
            <w:tcW w:type="dxa" w:w="299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99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31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Motor de base de datos (DBA)</w:t>
            </w:r>
          </w:p>
        </w:tc>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29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9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319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Consola de administración M365 / Google Workspace</w:t>
            </w:r>
          </w:p>
        </w:tc>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2991"/>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99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31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Medio de recuperación (ISO / USB)</w:t>
            </w:r>
          </w:p>
        </w:tc>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N/A</w:t>
            </w:r>
          </w:p>
        </w:tc>
        <w:tc>
          <w:tcPr>
            <w:tcW w:type="dxa" w:w="2991"/>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9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bl>
    <w:p>
      <w:pPr>
        <w:pStyle w:val="Heading1"/>
      </w:pPr>
      <w:r>
        <w:t xml:space="preserve">11. Contactos y comunicación</w:t>
      </w:r>
    </w:p>
    <w:p>
      <w:pPr>
        <w:pStyle w:val="Heading2"/>
      </w:pPr>
      <w:r>
        <w:t xml:space="preserve">11.1 Proveedores y terceros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3"/>
        <w:gridCol w:w="3390"/>
        <w:gridCol w:w="2193"/>
        <w:gridCol w:w="1996"/>
      </w:tblGrid>
      <w:tr>
        <w:trPr>
          <w:tblHeader/>
        </w:trPr>
        <w:tc>
          <w:tcPr>
            <w:tcW w:type="dxa" w:w="2393"/>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Proveedor</w:t>
            </w:r>
          </w:p>
        </w:tc>
        <w:tc>
          <w:tcPr>
            <w:tcW w:type="dxa" w:w="3390"/>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Servicio</w:t>
            </w:r>
          </w:p>
        </w:tc>
        <w:tc>
          <w:tcPr>
            <w:tcW w:type="dxa" w:w="2193"/>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Canal de soporte</w:t>
            </w:r>
          </w:p>
        </w:tc>
        <w:tc>
          <w:tcPr>
            <w:tcW w:type="dxa" w:w="1996"/>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Número de contrato / SLA</w:t>
            </w:r>
          </w:p>
        </w:tc>
      </w:tr>
      <w:tr>
        <w:tc>
          <w:tcPr>
            <w:tcW w:type="dxa" w:w="239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339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Software de copias de seguridad</w:t>
            </w:r>
          </w:p>
        </w:tc>
        <w:tc>
          <w:tcPr>
            <w:tcW w:type="dxa" w:w="219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9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239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339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Nube / alojamiento</w:t>
            </w:r>
          </w:p>
        </w:tc>
        <w:tc>
          <w:tcPr>
            <w:tcW w:type="dxa" w:w="219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99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239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339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Proveedor de conectividad (ISP)</w:t>
            </w:r>
          </w:p>
        </w:tc>
        <w:tc>
          <w:tcPr>
            <w:tcW w:type="dxa" w:w="219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9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239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339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Soporte de hardware</w:t>
            </w:r>
          </w:p>
        </w:tc>
        <w:tc>
          <w:tcPr>
            <w:tcW w:type="dxa" w:w="219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99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239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339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Aseguradora (póliza cibernética)</w:t>
            </w:r>
          </w:p>
        </w:tc>
        <w:tc>
          <w:tcPr>
            <w:tcW w:type="dxa" w:w="219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9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239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339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Equipo nacional de respuesta a incidentes (CSIRT)</w:t>
            </w:r>
          </w:p>
        </w:tc>
        <w:tc>
          <w:tcPr>
            <w:tcW w:type="dxa" w:w="219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99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bl>
    <w:p>
      <w:pPr>
        <w:spacing w:after="120"/>
      </w:pPr>
    </w:p>
    <w:p>
      <w:pPr>
        <w:spacing w:after="120"/>
      </w:pPr>
      <w:r>
        <w:rPr>
          <w:b/>
          <w:bCs/>
        </w:rPr>
        <w:t xml:space="preserve">Canal alterno de comunicación del equipo (fuera del entorno corporativo): </w:t>
      </w:r>
      <w:r>
        <w:rPr>
          <w:color w:val="5F5E5A"/>
        </w:rPr>
        <w:t xml:space="preserve">________________________________________</w:t>
      </w:r>
    </w:p>
    <w:p>
      <w:pPr>
        <w:pStyle w:val="Heading2"/>
      </w:pPr>
      <w:r>
        <w:t xml:space="preserve">11.2 Plan de comunicación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4"/>
        <w:gridCol w:w="3789"/>
        <w:gridCol w:w="1396"/>
        <w:gridCol w:w="1495"/>
        <w:gridCol w:w="1298"/>
      </w:tblGrid>
      <w:tr>
        <w:trPr>
          <w:tblHeader/>
        </w:trPr>
        <w:tc>
          <w:tcPr>
            <w:tcW w:type="dxa" w:w="1994"/>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Audiencia</w:t>
            </w:r>
          </w:p>
        </w:tc>
        <w:tc>
          <w:tcPr>
            <w:tcW w:type="dxa" w:w="3789"/>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Contenido del mensaje</w:t>
            </w:r>
          </w:p>
        </w:tc>
        <w:tc>
          <w:tcPr>
            <w:tcW w:type="dxa" w:w="1396"/>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Canal</w:t>
            </w:r>
          </w:p>
        </w:tc>
        <w:tc>
          <w:tcPr>
            <w:tcW w:type="dxa" w:w="1495"/>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Responsable</w:t>
            </w:r>
          </w:p>
        </w:tc>
        <w:tc>
          <w:tcPr>
            <w:tcW w:type="dxa" w:w="1298"/>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Plazo</w:t>
            </w:r>
          </w:p>
        </w:tc>
      </w:tr>
      <w:tr>
        <w:tc>
          <w:tcPr>
            <w:tcW w:type="dxa" w:w="19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Dirección / Gerencia</w:t>
            </w:r>
          </w:p>
        </w:tc>
        <w:tc>
          <w:tcPr>
            <w:tcW w:type="dxa" w:w="378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Alcance, impacto estimado y tiempo previsto de restablecimiento</w:t>
            </w:r>
          </w:p>
        </w:tc>
        <w:tc>
          <w:tcPr>
            <w:tcW w:type="dxa" w:w="13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4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9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19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Empleados</w:t>
            </w:r>
          </w:p>
        </w:tc>
        <w:tc>
          <w:tcPr>
            <w:tcW w:type="dxa" w:w="378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Sistemas afectados, instrucciones de trabajo temporal</w:t>
            </w:r>
          </w:p>
        </w:tc>
        <w:tc>
          <w:tcPr>
            <w:tcW w:type="dxa" w:w="139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4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9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19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Clientes afectados</w:t>
            </w:r>
          </w:p>
        </w:tc>
        <w:tc>
          <w:tcPr>
            <w:tcW w:type="dxa" w:w="378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Estado del servicio, sin detalles técnicos del incidente</w:t>
            </w:r>
          </w:p>
        </w:tc>
        <w:tc>
          <w:tcPr>
            <w:tcW w:type="dxa" w:w="13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4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9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19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Proveedores / socios</w:t>
            </w:r>
          </w:p>
        </w:tc>
        <w:tc>
          <w:tcPr>
            <w:tcW w:type="dxa" w:w="378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Afectación de intercambios de información</w:t>
            </w:r>
          </w:p>
        </w:tc>
        <w:tc>
          <w:tcPr>
            <w:tcW w:type="dxa" w:w="139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4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9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19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Autoridades</w:t>
            </w:r>
          </w:p>
        </w:tc>
        <w:tc>
          <w:tcPr>
            <w:tcW w:type="dxa" w:w="378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Notificación cuando la normativa de protección de datos lo exija</w:t>
            </w:r>
          </w:p>
        </w:tc>
        <w:tc>
          <w:tcPr>
            <w:tcW w:type="dxa" w:w="139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4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9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bl>
    <w:p>
      <w:pPr>
        <w:pStyle w:val="Heading1"/>
      </w:pPr>
      <w:r>
        <w:t xml:space="preserve">12. Registro de restauraciones y pruebas</w:t>
      </w:r>
    </w:p>
    <w:p>
      <w:pPr>
        <w:spacing w:after="120" w:line="276"/>
        <w:jc w:val="both"/>
      </w:pPr>
      <w:r>
        <w:t xml:space="preserve">Registrar cada restauración, sea una prueba programada o un evento real. Las pruebas deben ejecutarse al menos dos veces al año e idealmente cada trimestre; transcurridos más de 90 días sin una prueba completada, el indicador KRI-DAT-05 se considera en umbral de alerta.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1466"/>
        <w:gridCol w:w="1075"/>
        <w:gridCol w:w="1173"/>
        <w:gridCol w:w="1270"/>
        <w:gridCol w:w="1270"/>
        <w:gridCol w:w="1173"/>
        <w:gridCol w:w="1568"/>
      </w:tblGrid>
      <w:tr>
        <w:trPr>
          <w:tblHeader/>
        </w:trPr>
        <w:tc>
          <w:tcPr>
            <w:tcW w:type="dxa" w:w="977"/>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Fecha</w:t>
            </w:r>
          </w:p>
        </w:tc>
        <w:tc>
          <w:tcPr>
            <w:tcW w:type="dxa" w:w="1466"/>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Fuente</w:t>
            </w:r>
          </w:p>
        </w:tc>
        <w:tc>
          <w:tcPr>
            <w:tcW w:type="dxa" w:w="1075"/>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Tipo (prueba / real)</w:t>
            </w:r>
          </w:p>
        </w:tc>
        <w:tc>
          <w:tcPr>
            <w:tcW w:type="dxa" w:w="1173"/>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Punto utilizado</w:t>
            </w:r>
          </w:p>
        </w:tc>
        <w:tc>
          <w:tcPr>
            <w:tcW w:type="dxa" w:w="1270"/>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RTO real vs. objetivo</w:t>
            </w:r>
          </w:p>
        </w:tc>
        <w:tc>
          <w:tcPr>
            <w:tcW w:type="dxa" w:w="1270"/>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RPO real vs. objetivo</w:t>
            </w:r>
          </w:p>
        </w:tc>
        <w:tc>
          <w:tcPr>
            <w:tcW w:type="dxa" w:w="1173"/>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Resultado</w:t>
            </w:r>
          </w:p>
        </w:tc>
        <w:tc>
          <w:tcPr>
            <w:tcW w:type="dxa" w:w="1568"/>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Responsable</w:t>
            </w:r>
          </w:p>
        </w:tc>
      </w:tr>
      <w:tr>
        <w:tc>
          <w:tcPr>
            <w:tcW w:type="dxa" w:w="97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46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07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17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7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7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17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6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97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46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07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17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7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7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17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6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97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46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07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17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7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7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17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6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97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46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07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17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7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7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17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6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977"/>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466"/>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07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17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7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270"/>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17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6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977"/>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466"/>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07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17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7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270"/>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17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6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bl>
    <w:p>
      <w:pPr>
        <w:pStyle w:val="Heading1"/>
      </w:pPr>
      <w:r>
        <w:t xml:space="preserve">13. Análisis post-mortem</w:t>
      </w:r>
    </w:p>
    <w:p>
      <w:pPr>
        <w:spacing w:after="120" w:line="276"/>
        <w:jc w:val="both"/>
      </w:pPr>
      <w:r>
        <w:t xml:space="preserve">Tras cada activación de Nivel 2, y tras cada prueba con observaciones, documentar como mínimo:</w:t>
      </w:r>
    </w:p>
    <w:p>
      <w:pPr>
        <w:pStyle w:val="ListParagraph"/>
        <w:numPr>
          <w:ilvl w:val="0"/>
          <w:numId w:val="2"/>
        </w:numPr>
        <w:spacing w:after="60" w:line="276"/>
      </w:pPr>
      <w:r>
        <w:t xml:space="preserve">¿Cuál fue la causa raíz del evento?</w:t>
      </w:r>
    </w:p>
    <w:p>
      <w:pPr>
        <w:pStyle w:val="ListParagraph"/>
        <w:numPr>
          <w:ilvl w:val="0"/>
          <w:numId w:val="2"/>
        </w:numPr>
        <w:spacing w:after="60" w:line="276"/>
      </w:pPr>
      <w:r>
        <w:t xml:space="preserve">¿Se cumplieron el RTO y el RPO de cada fuente? En caso negativo, ¿por qué?</w:t>
      </w:r>
    </w:p>
    <w:p>
      <w:pPr>
        <w:pStyle w:val="ListParagraph"/>
        <w:numPr>
          <w:ilvl w:val="0"/>
          <w:numId w:val="2"/>
        </w:numPr>
        <w:spacing w:after="60" w:line="276"/>
      </w:pPr>
      <w:r>
        <w:t xml:space="preserve">¿Qué pasos documentados no funcionaron como se esperaba o faltaron?</w:t>
      </w:r>
    </w:p>
    <w:p>
      <w:pPr>
        <w:pStyle w:val="ListParagraph"/>
        <w:numPr>
          <w:ilvl w:val="0"/>
          <w:numId w:val="2"/>
        </w:numPr>
        <w:spacing w:after="60" w:line="276"/>
      </w:pPr>
      <w:r>
        <w:t xml:space="preserve">¿Qué ajustes requieren este plan, el inventario de fuentes o la Política de Copias de Seguridad?</w:t>
      </w:r>
    </w:p>
    <w:p>
      <w:pPr>
        <w:spacing w:after="120"/>
      </w:pPr>
      <w:r>
        <w:rPr>
          <w:b/>
          <w:bCs/>
        </w:rPr>
        <w:t xml:space="preserve">Fecha del análisis: </w:t>
      </w:r>
      <w:r>
        <w:rPr>
          <w:color w:val="5F5E5A"/>
        </w:rPr>
        <w:t xml:space="preserve">________________________________________</w:t>
      </w:r>
    </w:p>
    <w:p>
      <w:pPr>
        <w:spacing w:after="120"/>
      </w:pPr>
      <w:r>
        <w:rPr>
          <w:b/>
          <w:bCs/>
        </w:rPr>
        <w:t xml:space="preserve">Responsable: </w:t>
      </w:r>
      <w:r>
        <w:rPr>
          <w:color w:val="5F5E5A"/>
        </w:rPr>
        <w:t xml:space="preserve">________________________________________</w:t>
      </w:r>
    </w:p>
    <w:p>
      <w:pPr>
        <w:spacing w:after="120"/>
      </w:pPr>
      <w:r>
        <w:rPr>
          <w:b/>
          <w:bCs/>
        </w:rPr>
        <w:t xml:space="preserve">Acciones correctivas y fecha compromiso: </w:t>
      </w:r>
      <w:r>
        <w:rPr>
          <w:color w:val="5F5E5A"/>
        </w:rPr>
        <w:t xml:space="preserve">________________________________________</w:t>
      </w:r>
    </w:p>
    <w:p>
      <w:pPr>
        <w:pStyle w:val="Heading1"/>
      </w:pPr>
      <w:r>
        <w:t xml:space="preserve">14. Mantenimiento del plan</w:t>
      </w:r>
    </w:p>
    <w:p>
      <w:pPr>
        <w:spacing w:after="120" w:line="276"/>
        <w:jc w:val="both"/>
      </w:pPr>
      <w:r>
        <w:t xml:space="preserve">El Coordinador del plan es responsable de mantenerlo vigente. Además de la revisión semestral, el plan se revisa de forma extraordinaria cuando ocurre cualquiera de los siguientes eventos:</w:t>
      </w:r>
    </w:p>
    <w:p>
      <w:pPr>
        <w:pStyle w:val="ListParagraph"/>
        <w:numPr>
          <w:ilvl w:val="0"/>
          <w:numId w:val="2"/>
        </w:numPr>
        <w:spacing w:after="60" w:line="276"/>
      </w:pPr>
      <w:r>
        <w:t xml:space="preserve">Incorporación, retiro o migración de una fuente de información.</w:t>
      </w:r>
    </w:p>
    <w:p>
      <w:pPr>
        <w:pStyle w:val="ListParagraph"/>
        <w:numPr>
          <w:ilvl w:val="0"/>
          <w:numId w:val="2"/>
        </w:numPr>
        <w:spacing w:after="60" w:line="276"/>
      </w:pPr>
      <w:r>
        <w:t xml:space="preserve">Cambio del software de respaldo, de los repositorios o de la Política de Copias de Seguridad.</w:t>
      </w:r>
    </w:p>
    <w:p>
      <w:pPr>
        <w:pStyle w:val="ListParagraph"/>
        <w:numPr>
          <w:ilvl w:val="0"/>
          <w:numId w:val="2"/>
        </w:numPr>
        <w:spacing w:after="60" w:line="276"/>
      </w:pPr>
      <w:r>
        <w:t xml:space="preserve">Cambio de personas en los roles de la sección 4 o de proveedores críticos.</w:t>
      </w:r>
    </w:p>
    <w:p>
      <w:pPr>
        <w:pStyle w:val="ListParagraph"/>
        <w:numPr>
          <w:ilvl w:val="0"/>
          <w:numId w:val="2"/>
        </w:numPr>
        <w:spacing w:after="60" w:line="276"/>
      </w:pPr>
      <w:r>
        <w:t xml:space="preserve">Una activación real del plan o una prueba con resultado fallido.</w:t>
      </w:r>
    </w:p>
    <w:p>
      <w:r>
        <w:br w:type="page"/>
      </w:r>
    </w:p>
    <w:p>
      <w:pPr>
        <w:pStyle w:val="Heading1"/>
      </w:pPr>
      <w:r>
        <w:t xml:space="preserve">Anexo A. Ficha de recuperación por fuente</w:t>
      </w:r>
    </w:p>
    <w:p>
      <w:pPr>
        <w:spacing w:after="120" w:line="276"/>
        <w:jc w:val="both"/>
      </w:pPr>
      <w:r>
        <w:t xml:space="preserve">Duplicar esta ficha para cada fuente clasificada como Crítica o Alta.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9"/>
        <w:gridCol w:w="6383"/>
      </w:tblGrid>
      <w:tr>
        <w:trPr>
          <w:tblHeader/>
        </w:trPr>
        <w:tc>
          <w:tcPr>
            <w:tcW w:type="dxa" w:w="3589"/>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Campo</w:t>
            </w:r>
          </w:p>
        </w:tc>
        <w:tc>
          <w:tcPr>
            <w:tcW w:type="dxa" w:w="6383"/>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Detalle</w:t>
            </w:r>
          </w:p>
        </w:tc>
      </w:tr>
      <w:tr>
        <w:tc>
          <w:tcPr>
            <w:tcW w:type="dxa" w:w="358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Fuente de información</w:t>
            </w:r>
          </w:p>
        </w:tc>
        <w:tc>
          <w:tcPr>
            <w:tcW w:type="dxa" w:w="638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358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Servidor(es) o servicio</w:t>
            </w:r>
          </w:p>
        </w:tc>
        <w:tc>
          <w:tcPr>
            <w:tcW w:type="dxa" w:w="638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358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Criticidad / RTO / RPO</w:t>
            </w:r>
          </w:p>
        </w:tc>
        <w:tc>
          <w:tcPr>
            <w:tcW w:type="dxa" w:w="638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358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Dependencias (deben estar operativas antes)</w:t>
            </w:r>
          </w:p>
        </w:tc>
        <w:tc>
          <w:tcPr>
            <w:tcW w:type="dxa" w:w="638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358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i/>
                <w:iCs/>
                <w:sz w:val="19"/>
                <w:szCs w:val="19"/>
              </w:rPr>
              <w:t xml:space="preserve">Job</w:t>
            </w:r>
            <w:r>
              <w:rPr>
                <w:rFonts w:ascii="Calibri" w:cs="Calibri" w:eastAsia="Calibri" w:hAnsi="Calibri"/>
                <w:b/>
                <w:bCs/>
                <w:sz w:val="19"/>
                <w:szCs w:val="19"/>
              </w:rPr>
              <w:t xml:space="preserve"> y repositorio(s) de copia</w:t>
            </w:r>
          </w:p>
        </w:tc>
        <w:tc>
          <w:tcPr>
            <w:tcW w:type="dxa" w:w="638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358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Prerrequisitos (accesos, licencias, hardware de reemplazo)</w:t>
            </w:r>
          </w:p>
        </w:tc>
        <w:tc>
          <w:tcPr>
            <w:tcW w:type="dxa" w:w="638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358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Pasos de restauración</w:t>
            </w:r>
          </w:p>
        </w:tc>
        <w:tc>
          <w:tcPr>
            <w:tcW w:type="dxa" w:w="638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w:t>
            </w:r>
          </w:p>
          <w:p>
            <w:pPr>
              <w:spacing w:after="0"/>
            </w:pPr>
            <w:r>
              <w:rPr>
                <w:rFonts w:ascii="Calibri" w:cs="Calibri" w:eastAsia="Calibri" w:hAnsi="Calibri"/>
                <w:b w:val="false"/>
                <w:bCs w:val="false"/>
                <w:sz w:val="19"/>
                <w:szCs w:val="19"/>
              </w:rPr>
              <w:t xml:space="preserve">2.</w:t>
            </w:r>
          </w:p>
          <w:p>
            <w:pPr>
              <w:spacing w:after="0"/>
            </w:pPr>
            <w:r>
              <w:rPr>
                <w:rFonts w:ascii="Calibri" w:cs="Calibri" w:eastAsia="Calibri" w:hAnsi="Calibri"/>
                <w:b w:val="false"/>
                <w:bCs w:val="false"/>
                <w:sz w:val="19"/>
                <w:szCs w:val="19"/>
              </w:rPr>
              <w:t xml:space="preserve">3.</w:t>
            </w:r>
          </w:p>
          <w:p>
            <w:pPr>
              <w:spacing w:after="0"/>
            </w:pPr>
            <w:r>
              <w:rPr>
                <w:rFonts w:ascii="Calibri" w:cs="Calibri" w:eastAsia="Calibri" w:hAnsi="Calibri"/>
                <w:b w:val="false"/>
                <w:bCs w:val="false"/>
                <w:sz w:val="19"/>
                <w:szCs w:val="19"/>
              </w:rPr>
              <w:t xml:space="preserve">4.</w:t>
            </w:r>
          </w:p>
        </w:tc>
      </w:tr>
      <w:tr>
        <w:tc>
          <w:tcPr>
            <w:tcW w:type="dxa" w:w="358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Verificación posterior</w:t>
            </w:r>
          </w:p>
        </w:tc>
        <w:tc>
          <w:tcPr>
            <w:tcW w:type="dxa" w:w="638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358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Propietario que valida</w:t>
            </w:r>
          </w:p>
        </w:tc>
        <w:tc>
          <w:tcPr>
            <w:tcW w:type="dxa" w:w="638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3589"/>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Tiempo medido en la última prueba</w:t>
            </w:r>
          </w:p>
        </w:tc>
        <w:tc>
          <w:tcPr>
            <w:tcW w:type="dxa" w:w="6383"/>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3589"/>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Fecha de la última prueba</w:t>
            </w:r>
          </w:p>
        </w:tc>
        <w:tc>
          <w:tcPr>
            <w:tcW w:type="dxa" w:w="6383"/>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bl>
    <w:p>
      <w:pPr>
        <w:pStyle w:val="Heading1"/>
      </w:pPr>
      <w:r>
        <w:t xml:space="preserve">Anexo B. Bitácora de ejecución</w:t>
      </w:r>
    </w:p>
    <w:p>
      <w:pPr>
        <w:spacing w:after="120" w:line="276"/>
        <w:jc w:val="both"/>
      </w:pPr>
      <w:r>
        <w:t xml:space="preserve">Registrar cronológicamente cada acción desde la activación hasta el cierre. Esta bitácora es la base del análisis </w:t>
      </w:r>
      <w:r>
        <w:rPr>
          <w:i/>
          <w:iCs/>
        </w:rPr>
        <w:t xml:space="preserve">post-mortem</w:t>
      </w:r>
      <w:r>
        <w:t xml:space="preserve"> y de cualquier investigación posterior.</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4"/>
        <w:gridCol w:w="4188"/>
        <w:gridCol w:w="1595"/>
        <w:gridCol w:w="2395"/>
      </w:tblGrid>
      <w:tr>
        <w:trPr>
          <w:tblHeader/>
        </w:trPr>
        <w:tc>
          <w:tcPr>
            <w:tcW w:type="dxa" w:w="1794"/>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Fecha y hora</w:t>
            </w:r>
          </w:p>
        </w:tc>
        <w:tc>
          <w:tcPr>
            <w:tcW w:type="dxa" w:w="4188"/>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Acción ejecutada</w:t>
            </w:r>
          </w:p>
        </w:tc>
        <w:tc>
          <w:tcPr>
            <w:tcW w:type="dxa" w:w="1595"/>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Responsable</w:t>
            </w:r>
          </w:p>
        </w:tc>
        <w:tc>
          <w:tcPr>
            <w:tcW w:type="dxa" w:w="2395"/>
            <w:tcBorders>
              <w:top w:val="single" w:color="B5D4F4" w:sz="4"/>
              <w:left w:val="single" w:color="B5D4F4" w:sz="4"/>
              <w:bottom w:val="single" w:color="B5D4F4" w:sz="4"/>
              <w:right w:val="single" w:color="B5D4F4" w:sz="4"/>
            </w:tcBorders>
            <w:shd w:fill="D5E8F0" w:color="auto" w:val="clear"/>
            <w:tcMar>
              <w:top w:type="dxa" w:w="60"/>
              <w:left w:type="dxa" w:w="100"/>
              <w:bottom w:type="dxa" w:w="60"/>
              <w:right w:type="dxa" w:w="100"/>
            </w:tcMar>
            <w:vAlign w:val="center"/>
          </w:tcPr>
          <w:p>
            <w:pPr>
              <w:spacing w:after="0"/>
            </w:pPr>
            <w:r>
              <w:rPr>
                <w:rFonts w:ascii="Calibri" w:cs="Calibri" w:eastAsia="Calibri" w:hAnsi="Calibri"/>
                <w:b/>
                <w:bCs/>
                <w:color w:val="1F3864"/>
                <w:sz w:val="19"/>
                <w:szCs w:val="19"/>
              </w:rPr>
              <w:t xml:space="preserve">Resultado / observación</w:t>
            </w:r>
          </w:p>
        </w:tc>
      </w:tr>
      <w:tr>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418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23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418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23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418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23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418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23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418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23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418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23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418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23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418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23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418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23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418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23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r>
        <w:tc>
          <w:tcPr>
            <w:tcW w:type="dxa" w:w="1794"/>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4188"/>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c>
          <w:tcPr>
            <w:tcW w:type="dxa" w:w="2395"/>
            <w:tcBorders>
              <w:top w:val="single" w:color="B5D4F4" w:sz="4"/>
              <w:left w:val="single" w:color="B5D4F4" w:sz="4"/>
              <w:bottom w:val="single" w:color="B5D4F4" w:sz="4"/>
              <w:right w:val="single" w:color="B5D4F4" w:sz="4"/>
            </w:tcBorders>
            <w:shd w:fill="FFFFFF" w:color="auto" w:val="clear"/>
            <w:tcMar>
              <w:top w:type="dxa" w:w="60"/>
              <w:left w:type="dxa" w:w="100"/>
              <w:bottom w:type="dxa" w:w="60"/>
              <w:right w:type="dxa" w:w="100"/>
            </w:tcMar>
            <w:vAlign w:val="center"/>
          </w:tcPr>
          <w:p>
            <w:pPr>
              <w:spacing w:after="0"/>
            </w:pPr>
          </w:p>
        </w:tc>
      </w:tr>
      <w:tr>
        <w:tc>
          <w:tcPr>
            <w:tcW w:type="dxa" w:w="1794"/>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4188"/>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15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c>
          <w:tcPr>
            <w:tcW w:type="dxa" w:w="2395"/>
            <w:tcBorders>
              <w:top w:val="single" w:color="B5D4F4" w:sz="4"/>
              <w:left w:val="single" w:color="B5D4F4" w:sz="4"/>
              <w:bottom w:val="single" w:color="B5D4F4" w:sz="4"/>
              <w:right w:val="single" w:color="B5D4F4" w:sz="4"/>
            </w:tcBorders>
            <w:shd w:fill="EBF3FB" w:color="auto" w:val="clear"/>
            <w:tcMar>
              <w:top w:type="dxa" w:w="60"/>
              <w:left w:type="dxa" w:w="100"/>
              <w:bottom w:type="dxa" w:w="60"/>
              <w:right w:type="dxa" w:w="100"/>
            </w:tcMar>
            <w:vAlign w:val="center"/>
          </w:tcPr>
          <w:p>
            <w:pPr>
              <w:spacing w:after="0"/>
            </w:pPr>
          </w:p>
        </w:tc>
      </w:tr>
    </w:tbl>
    <w:sectPr>
      <w:headerReference w:type="default" r:id="rId7"/>
      <w:footerReference w:type="default" r:id="rId8"/>
      <w:footerReference w:type="first" r:id="rId9"/>
      <w:pgSz w:w="12240" w:h="15840" w:orient="portrait"/>
      <w:pgMar w:top="1134" w:right="1134" w:bottom="1134" w:left="1134"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4"/>
      </w:pBdr>
      <w:tabs>
        <w:tab w:val="right" w:pos="9972"/>
      </w:tabs>
    </w:pPr>
    <w:r>
      <w:rPr>
        <w:rFonts w:ascii="Calibri" w:cs="Calibri" w:eastAsia="Calibri" w:hAnsi="Calibri"/>
        <w:color w:val="555555"/>
        <w:sz w:val="16"/>
        <w:szCs w:val="16"/>
      </w:rPr>
      <w:t xml:space="preserve">© Mauricio Vergara Manjarrés — Ciberprotección para PyMES · Plantilla 5.7</w:t>
    </w:r>
    <w:r>
      <w:rPr>
        <w:rFonts w:ascii="Calibri" w:cs="Calibri" w:eastAsia="Calibri" w:hAnsi="Calibri"/>
        <w:b/>
        <w:bCs/>
        <w:color w:val="2E6DA4"/>
        <w:sz w:val="16"/>
        <w:szCs w:val="16"/>
      </w:rPr>
      <w:t xml:space="preserve">	Página </w:t>
    </w:r>
    <w:r>
      <w:rPr>
        <w:rFonts w:ascii="Calibri" w:cs="Calibri" w:eastAsia="Calibri" w:hAnsi="Calibri"/>
        <w:b/>
        <w:bCs/>
        <w:color w:val="2E6DA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tabs>
        <w:tab w:val="right" w:pos="9972"/>
      </w:tabs>
    </w:pPr>
    <w:r>
      <w:rPr>
        <w:rFonts w:ascii="Calibri" w:cs="Calibri" w:eastAsia="Calibri" w:hAnsi="Calibri"/>
        <w:i/>
        <w:iCs/>
        <w:color w:val="2E6DA4"/>
        <w:sz w:val="18"/>
        <w:szCs w:val="18"/>
      </w:rPr>
      <w:t xml:space="preserve">Plan de Recuperación de Datos</w:t>
    </w:r>
    <w:r>
      <w:rPr>
        <w:rFonts w:ascii="Calibri" w:cs="Calibri" w:eastAsia="Calibri" w:hAnsi="Calibri"/>
        <w:i/>
        <w:iCs/>
        <w:color w:val="2E6DA4"/>
        <w:sz w:val="18"/>
        <w:szCs w:val="18"/>
      </w:rPr>
      <w:t xml:space="preserve">	[Nombre de la organización]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abstractNum w:abstractNumId="7"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185FA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Recuperación de Datos — Plantilla 5.7</dc:title>
  <dc:creator>Mauricio Vergara Manjarrés</dc:creator>
  <cp:lastModifiedBy>Un-named</cp:lastModifiedBy>
  <cp:revision>1</cp:revision>
  <dcterms:created xsi:type="dcterms:W3CDTF">2026-10-06T17:57:18.492Z</dcterms:created>
  <dcterms:modified xsi:type="dcterms:W3CDTF">2026-10-06T17:57:18.492Z</dcterms:modified>
</cp:coreProperties>
</file>

<file path=docProps/custom.xml><?xml version="1.0" encoding="utf-8"?>
<Properties xmlns="http://schemas.openxmlformats.org/officeDocument/2006/custom-properties" xmlns:vt="http://schemas.openxmlformats.org/officeDocument/2006/docPropsVTypes"/>
</file>