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ABEF" w14:textId="77777777" w:rsidR="00D713D0" w:rsidRDefault="00000000">
      <w:pPr>
        <w:spacing w:before="480" w:after="60"/>
        <w:jc w:val="center"/>
      </w:pPr>
      <w:r>
        <w:rPr>
          <w:rFonts w:ascii="Calibri" w:eastAsia="Calibri" w:hAnsi="Calibri" w:cs="Calibri"/>
          <w:b/>
          <w:bCs/>
          <w:color w:val="185FA5"/>
          <w:sz w:val="36"/>
          <w:szCs w:val="36"/>
        </w:rPr>
        <w:t>POLÍTICA DE GESTIÓN DEL CORREO ELECTRÓNICO</w:t>
      </w:r>
    </w:p>
    <w:p w14:paraId="5D5BABF0" w14:textId="77777777" w:rsidR="00D713D0" w:rsidRDefault="00000000">
      <w:pPr>
        <w:spacing w:after="60"/>
        <w:jc w:val="center"/>
      </w:pPr>
      <w:r>
        <w:rPr>
          <w:rFonts w:ascii="Calibri" w:eastAsia="Calibri" w:hAnsi="Calibri" w:cs="Calibri"/>
          <w:color w:val="5F5E5A"/>
          <w:sz w:val="22"/>
          <w:szCs w:val="22"/>
        </w:rPr>
        <w:t>Ciberprotección para PyMES · Plantilla 6.1</w:t>
      </w:r>
    </w:p>
    <w:p w14:paraId="5D5BABF1" w14:textId="77777777" w:rsidR="00D713D0" w:rsidRDefault="00D713D0">
      <w:pPr>
        <w:pBdr>
          <w:bottom w:val="single" w:sz="18" w:space="0" w:color="185FA5"/>
        </w:pBd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13D0" w14:paraId="5D5BABF4"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BF2" w14:textId="77777777" w:rsidR="00D713D0" w:rsidRDefault="00000000">
            <w:r>
              <w:rPr>
                <w:rFonts w:ascii="Calibri" w:eastAsia="Calibri" w:hAnsi="Calibri" w:cs="Calibri"/>
                <w:b/>
                <w:bCs/>
                <w:color w:val="FFFFFF"/>
                <w:sz w:val="18"/>
                <w:szCs w:val="18"/>
              </w:rPr>
              <w:t>Campo</w:t>
            </w:r>
          </w:p>
        </w:tc>
        <w:tc>
          <w:tcPr>
            <w:tcW w:w="65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BF3" w14:textId="77777777" w:rsidR="00D713D0" w:rsidRDefault="00000000">
            <w:r>
              <w:rPr>
                <w:color w:val="FFFFFF"/>
                <w:sz w:val="18"/>
                <w:szCs w:val="18"/>
              </w:rPr>
              <w:t>Valor</w:t>
            </w:r>
          </w:p>
        </w:tc>
      </w:tr>
      <w:tr w:rsidR="00D713D0" w14:paraId="5D5BABF7"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BF5" w14:textId="77777777" w:rsidR="00D713D0" w:rsidRDefault="00000000">
            <w:r>
              <w:rPr>
                <w:rFonts w:ascii="Calibri" w:eastAsia="Calibri" w:hAnsi="Calibri" w:cs="Calibri"/>
                <w:b/>
                <w:bCs/>
                <w:color w:val="5F5E5A"/>
                <w:sz w:val="18"/>
                <w:szCs w:val="18"/>
              </w:rPr>
              <w:t>Organización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BF6" w14:textId="77777777" w:rsidR="00D713D0" w:rsidRDefault="00000000">
            <w:r>
              <w:rPr>
                <w:color w:val="000000"/>
                <w:sz w:val="18"/>
                <w:szCs w:val="18"/>
              </w:rPr>
              <w:t>[Nombre de la empresa]</w:t>
            </w:r>
          </w:p>
        </w:tc>
      </w:tr>
      <w:tr w:rsidR="00D713D0" w14:paraId="5D5BABFA"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BF8" w14:textId="77777777" w:rsidR="00D713D0" w:rsidRDefault="00000000">
            <w:r>
              <w:rPr>
                <w:rFonts w:ascii="Calibri" w:eastAsia="Calibri" w:hAnsi="Calibri" w:cs="Calibri"/>
                <w:b/>
                <w:bCs/>
                <w:color w:val="5F5E5A"/>
                <w:sz w:val="18"/>
                <w:szCs w:val="18"/>
              </w:rPr>
              <w:t>Versión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BF9" w14:textId="77777777" w:rsidR="00D713D0" w:rsidRDefault="00000000">
            <w:r>
              <w:rPr>
                <w:color w:val="000000"/>
                <w:sz w:val="18"/>
                <w:szCs w:val="18"/>
              </w:rPr>
              <w:t>1.0</w:t>
            </w:r>
          </w:p>
        </w:tc>
      </w:tr>
      <w:tr w:rsidR="00D713D0" w14:paraId="5D5BABFD"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BFB" w14:textId="77777777" w:rsidR="00D713D0" w:rsidRDefault="00000000">
            <w:r>
              <w:rPr>
                <w:rFonts w:ascii="Calibri" w:eastAsia="Calibri" w:hAnsi="Calibri" w:cs="Calibri"/>
                <w:b/>
                <w:bCs/>
                <w:color w:val="5F5E5A"/>
                <w:sz w:val="18"/>
                <w:szCs w:val="18"/>
              </w:rPr>
              <w:t>Fecha de emisión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BFC" w14:textId="77777777" w:rsidR="00D713D0" w:rsidRDefault="00000000">
            <w:r>
              <w:rPr>
                <w:color w:val="000000"/>
                <w:sz w:val="18"/>
                <w:szCs w:val="18"/>
              </w:rPr>
              <w:t>[DD/MM/AAAA]</w:t>
            </w:r>
          </w:p>
        </w:tc>
      </w:tr>
      <w:tr w:rsidR="00D713D0" w14:paraId="5D5BAC00"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BFE" w14:textId="77777777" w:rsidR="00D713D0" w:rsidRDefault="00000000">
            <w:r>
              <w:rPr>
                <w:rFonts w:ascii="Calibri" w:eastAsia="Calibri" w:hAnsi="Calibri" w:cs="Calibri"/>
                <w:b/>
                <w:bCs/>
                <w:color w:val="5F5E5A"/>
                <w:sz w:val="18"/>
                <w:szCs w:val="18"/>
              </w:rPr>
              <w:t>Fecha de próxima revisión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BFF" w14:textId="77777777" w:rsidR="00D713D0" w:rsidRDefault="00000000">
            <w:r>
              <w:rPr>
                <w:color w:val="000000"/>
                <w:sz w:val="18"/>
                <w:szCs w:val="18"/>
              </w:rPr>
              <w:t>[DD/MM/AAAA]</w:t>
            </w:r>
          </w:p>
        </w:tc>
      </w:tr>
      <w:tr w:rsidR="00D713D0" w14:paraId="5D5BAC03"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01" w14:textId="77777777" w:rsidR="00D713D0" w:rsidRDefault="00000000">
            <w:r>
              <w:rPr>
                <w:rFonts w:ascii="Calibri" w:eastAsia="Calibri" w:hAnsi="Calibri" w:cs="Calibri"/>
                <w:b/>
                <w:bCs/>
                <w:color w:val="5F5E5A"/>
                <w:sz w:val="18"/>
                <w:szCs w:val="18"/>
              </w:rPr>
              <w:t>Elaborado por</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02" w14:textId="77777777" w:rsidR="00D713D0" w:rsidRDefault="00000000">
            <w:r>
              <w:rPr>
                <w:color w:val="000000"/>
                <w:sz w:val="18"/>
                <w:szCs w:val="18"/>
              </w:rPr>
              <w:t>[Nombre · Cargo]</w:t>
            </w:r>
          </w:p>
        </w:tc>
      </w:tr>
      <w:tr w:rsidR="00D713D0" w14:paraId="5D5BAC06"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04" w14:textId="77777777" w:rsidR="00D713D0" w:rsidRDefault="00000000">
            <w:r>
              <w:rPr>
                <w:rFonts w:ascii="Calibri" w:eastAsia="Calibri" w:hAnsi="Calibri" w:cs="Calibri"/>
                <w:b/>
                <w:bCs/>
                <w:color w:val="5F5E5A"/>
                <w:sz w:val="18"/>
                <w:szCs w:val="18"/>
              </w:rPr>
              <w:t>Revisado por</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05" w14:textId="77777777" w:rsidR="00D713D0" w:rsidRDefault="00000000">
            <w:r>
              <w:rPr>
                <w:color w:val="000000"/>
                <w:sz w:val="18"/>
                <w:szCs w:val="18"/>
              </w:rPr>
              <w:t>[Nombre · Cargo]</w:t>
            </w:r>
          </w:p>
        </w:tc>
      </w:tr>
      <w:tr w:rsidR="00D713D0" w14:paraId="5D5BAC09"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07" w14:textId="77777777" w:rsidR="00D713D0" w:rsidRDefault="00000000">
            <w:r>
              <w:rPr>
                <w:rFonts w:ascii="Calibri" w:eastAsia="Calibri" w:hAnsi="Calibri" w:cs="Calibri"/>
                <w:b/>
                <w:bCs/>
                <w:color w:val="5F5E5A"/>
                <w:sz w:val="18"/>
                <w:szCs w:val="18"/>
              </w:rPr>
              <w:t>Aprobado por</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08" w14:textId="77777777" w:rsidR="00D713D0" w:rsidRDefault="00000000">
            <w:r>
              <w:rPr>
                <w:color w:val="000000"/>
                <w:sz w:val="18"/>
                <w:szCs w:val="18"/>
              </w:rPr>
              <w:t>[Nombre · Cargo · Firma]</w:t>
            </w:r>
          </w:p>
        </w:tc>
      </w:tr>
      <w:tr w:rsidR="00D713D0" w14:paraId="5D5BAC0C"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0A" w14:textId="77777777" w:rsidR="00D713D0" w:rsidRDefault="00000000">
            <w:r>
              <w:rPr>
                <w:rFonts w:ascii="Calibri" w:eastAsia="Calibri" w:hAnsi="Calibri" w:cs="Calibri"/>
                <w:b/>
                <w:bCs/>
                <w:color w:val="5F5E5A"/>
                <w:sz w:val="18"/>
                <w:szCs w:val="18"/>
              </w:rPr>
              <w:t>Clasificación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0B" w14:textId="77777777" w:rsidR="00D713D0" w:rsidRDefault="00000000">
            <w:r>
              <w:rPr>
                <w:color w:val="000000"/>
                <w:sz w:val="18"/>
                <w:szCs w:val="18"/>
              </w:rPr>
              <w:t>Uso interno</w:t>
            </w:r>
          </w:p>
        </w:tc>
      </w:tr>
    </w:tbl>
    <w:p w14:paraId="5D5BAC0D" w14:textId="77777777" w:rsidR="00D713D0" w:rsidRDefault="00D713D0">
      <w:pPr>
        <w:spacing w:after="240"/>
      </w:pPr>
    </w:p>
    <w:p w14:paraId="5D5BAC0E"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1. Propósito</w:t>
      </w:r>
    </w:p>
    <w:p w14:paraId="5D5BAC0F" w14:textId="77777777" w:rsidR="00D713D0" w:rsidRDefault="00000000">
      <w:pPr>
        <w:spacing w:after="120" w:line="276" w:lineRule="auto"/>
        <w:jc w:val="both"/>
      </w:pPr>
      <w:r>
        <w:rPr>
          <w:color w:val="000000"/>
        </w:rPr>
        <w:t>El correo electrónico es el principal canal de comunicación corporativa y, simultáneamente, el vector de ataque más utilizado por los ciberdelincuentes. Esta política establece las reglas bajo las cuales la organización gestiona su servicio de correo electrónico: define los usos permitidos y prohibidos, las responsabilidades de administradores y usuarios, y los criterios mínimos de seguridad que deben observarse en el uso diario del servicio. Su objetivo es reducir el riesgo de incidentes de seguridad originados a través del correo electrónico y garantizar que las decisiones operativas del equipo de TI cuenten con el respaldo institucional de la alta dirección.</w:t>
      </w:r>
    </w:p>
    <w:p w14:paraId="5D5BAC10"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2. Alcance</w:t>
      </w:r>
    </w:p>
    <w:p w14:paraId="5D5BAC11" w14:textId="77777777" w:rsidR="00D713D0" w:rsidRDefault="00000000">
      <w:pPr>
        <w:spacing w:after="120" w:line="276" w:lineRule="auto"/>
        <w:jc w:val="both"/>
      </w:pPr>
      <w:r>
        <w:rPr>
          <w:color w:val="000000"/>
        </w:rPr>
        <w:t>Esta política aplica a todos los empleados, contratistas, pasantes y terceros que utilicen el servicio de correo electrónico corporativo de la organización, independientemente del dispositivo o la ubicación desde la que accedan al servicio. Cubre todos los buzones activos bajo el dominio corporativo, incluyendo buzones individuales, buzones compartidos, listas de distribución y cuentas funcionales de área.</w:t>
      </w:r>
    </w:p>
    <w:p w14:paraId="5D5BAC12"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3. Definiciones</w:t>
      </w:r>
    </w:p>
    <w:p w14:paraId="5D5BAC13" w14:textId="77777777" w:rsidR="00D713D0" w:rsidRDefault="00000000">
      <w:pPr>
        <w:spacing w:after="120" w:line="276" w:lineRule="auto"/>
        <w:jc w:val="both"/>
      </w:pPr>
      <w:r>
        <w:rPr>
          <w:b/>
          <w:bCs/>
          <w:color w:val="000000"/>
        </w:rPr>
        <w:t xml:space="preserve">Buzón corporativo: </w:t>
      </w:r>
      <w:r>
        <w:rPr>
          <w:color w:val="000000"/>
        </w:rPr>
        <w:t>Cuenta de correo electrónico creada bajo el dominio de la organización y gestionada por el equipo de TI.</w:t>
      </w:r>
    </w:p>
    <w:p w14:paraId="5D5BAC14" w14:textId="77777777" w:rsidR="00D713D0" w:rsidRDefault="00000000">
      <w:pPr>
        <w:spacing w:after="120" w:line="276" w:lineRule="auto"/>
        <w:jc w:val="both"/>
      </w:pPr>
      <w:r>
        <w:rPr>
          <w:b/>
          <w:bCs/>
          <w:color w:val="000000"/>
        </w:rPr>
        <w:t xml:space="preserve">Buzón compartido: </w:t>
      </w:r>
      <w:r>
        <w:rPr>
          <w:color w:val="000000"/>
        </w:rPr>
        <w:t xml:space="preserve">Buzón asociado a un área o función (ej. </w:t>
      </w:r>
      <w:proofErr w:type="spellStart"/>
      <w:r>
        <w:rPr>
          <w:color w:val="000000"/>
        </w:rPr>
        <w:t>info</w:t>
      </w:r>
      <w:proofErr w:type="spellEnd"/>
      <w:r>
        <w:rPr>
          <w:color w:val="000000"/>
        </w:rPr>
        <w:t>@, soporte@) al que acceden múltiples usuarios con un propietario asignado.</w:t>
      </w:r>
    </w:p>
    <w:p w14:paraId="5D5BAC15" w14:textId="77777777" w:rsidR="00D713D0" w:rsidRDefault="00000000">
      <w:pPr>
        <w:spacing w:after="120" w:line="276" w:lineRule="auto"/>
        <w:jc w:val="both"/>
      </w:pPr>
      <w:r>
        <w:rPr>
          <w:b/>
          <w:bCs/>
          <w:color w:val="000000"/>
        </w:rPr>
        <w:t xml:space="preserve">Lista de distribución: </w:t>
      </w:r>
      <w:r>
        <w:rPr>
          <w:color w:val="000000"/>
        </w:rPr>
        <w:t>Grupo de direcciones de correo que permite enviar un mensaje a múltiples destinatarios con una sola dirección de destino.</w:t>
      </w:r>
    </w:p>
    <w:p w14:paraId="5D5BAC16" w14:textId="77777777" w:rsidR="00D713D0" w:rsidRDefault="00000000">
      <w:pPr>
        <w:spacing w:after="120" w:line="276" w:lineRule="auto"/>
        <w:jc w:val="both"/>
      </w:pPr>
      <w:r>
        <w:rPr>
          <w:b/>
          <w:bCs/>
          <w:color w:val="000000"/>
        </w:rPr>
        <w:t xml:space="preserve">Phishing: </w:t>
      </w:r>
      <w:r>
        <w:rPr>
          <w:color w:val="000000"/>
        </w:rPr>
        <w:t>Técnica de engaño mediante correo electrónico fraudulento que busca que el destinatario ejecute una acción perjudicial para la organización.</w:t>
      </w:r>
    </w:p>
    <w:p w14:paraId="5D5BAC17" w14:textId="77777777" w:rsidR="00D713D0" w:rsidRDefault="00000000">
      <w:pPr>
        <w:spacing w:after="120" w:line="276" w:lineRule="auto"/>
        <w:jc w:val="both"/>
      </w:pPr>
      <w:r>
        <w:rPr>
          <w:b/>
          <w:bCs/>
          <w:color w:val="000000"/>
        </w:rPr>
        <w:lastRenderedPageBreak/>
        <w:t xml:space="preserve">Retención de mensajes: </w:t>
      </w:r>
      <w:r>
        <w:rPr>
          <w:color w:val="000000"/>
        </w:rPr>
        <w:t>Período durante el cual los mensajes deben ser conservados antes de su eliminación, definido por tipo de buzón y categoría de comunicación.</w:t>
      </w:r>
    </w:p>
    <w:p w14:paraId="5D5BAC18" w14:textId="77777777" w:rsidR="00D713D0" w:rsidRDefault="00000000">
      <w:pPr>
        <w:spacing w:after="120" w:line="276" w:lineRule="auto"/>
        <w:jc w:val="both"/>
      </w:pPr>
      <w:r>
        <w:rPr>
          <w:b/>
          <w:bCs/>
          <w:color w:val="000000"/>
        </w:rPr>
        <w:t>Reserva Legal (</w:t>
      </w:r>
      <w:proofErr w:type="spellStart"/>
      <w:r>
        <w:rPr>
          <w:b/>
          <w:bCs/>
          <w:color w:val="000000"/>
        </w:rPr>
        <w:t>Litigation</w:t>
      </w:r>
      <w:proofErr w:type="spellEnd"/>
      <w:r>
        <w:rPr>
          <w:b/>
          <w:bCs/>
          <w:color w:val="000000"/>
        </w:rPr>
        <w:t xml:space="preserve"> Hold): </w:t>
      </w:r>
      <w:r>
        <w:rPr>
          <w:color w:val="000000"/>
        </w:rPr>
        <w:t>Suspensión de la eliminación automática de mensajes por requerimiento legal, regulatorio o de auditoría.</w:t>
      </w:r>
    </w:p>
    <w:p w14:paraId="5D5BAC19" w14:textId="77777777" w:rsidR="00D713D0" w:rsidRDefault="00000000">
      <w:pPr>
        <w:spacing w:after="120" w:line="276" w:lineRule="auto"/>
        <w:jc w:val="both"/>
      </w:pPr>
      <w:r>
        <w:rPr>
          <w:b/>
          <w:bCs/>
          <w:color w:val="000000"/>
        </w:rPr>
        <w:t xml:space="preserve">Tenant: </w:t>
      </w:r>
      <w:r>
        <w:rPr>
          <w:color w:val="000000"/>
        </w:rPr>
        <w:t xml:space="preserve">Cuenta corporativa creada en un proveedor de servicios de correo en la nube (Microsoft 365, Google </w:t>
      </w:r>
      <w:proofErr w:type="spellStart"/>
      <w:r>
        <w:rPr>
          <w:color w:val="000000"/>
        </w:rPr>
        <w:t>Workspace</w:t>
      </w:r>
      <w:proofErr w:type="spellEnd"/>
      <w:r>
        <w:rPr>
          <w:color w:val="000000"/>
        </w:rPr>
        <w:t>) que agrupa todos los buzones y configuraciones del servicio.</w:t>
      </w:r>
    </w:p>
    <w:p w14:paraId="5D5BAC1A"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4. Principios Generales</w:t>
      </w:r>
    </w:p>
    <w:p w14:paraId="5D5BAC1B" w14:textId="77777777" w:rsidR="00D713D0" w:rsidRDefault="00000000">
      <w:pPr>
        <w:spacing w:after="120" w:line="276" w:lineRule="auto"/>
        <w:jc w:val="both"/>
      </w:pPr>
      <w:r>
        <w:rPr>
          <w:color w:val="000000"/>
        </w:rPr>
        <w:t>El servicio de correo electrónico corporativo es un recurso institucional puesto a disposición de los colaboradores para el cumplimiento de sus funciones. Su uso está sujeto a los siguientes principios:</w:t>
      </w:r>
    </w:p>
    <w:p w14:paraId="5D5BAC1C" w14:textId="77777777" w:rsidR="00D713D0" w:rsidRDefault="00000000">
      <w:pPr>
        <w:spacing w:after="80" w:line="276" w:lineRule="auto"/>
        <w:ind w:left="440" w:hanging="220"/>
        <w:jc w:val="both"/>
      </w:pPr>
      <w:r>
        <w:rPr>
          <w:b/>
          <w:bCs/>
          <w:color w:val="185FA5"/>
        </w:rPr>
        <w:t xml:space="preserve">•  </w:t>
      </w:r>
      <w:r>
        <w:rPr>
          <w:color w:val="000000"/>
        </w:rPr>
        <w:t>El correo electrónico corporativo es propiedad de la organización. Los mensajes enviados y recibidos desde los buzones corporativos pueden ser revisados por el equipo de TI o por la dirección en los supuestos previstos en esta política.</w:t>
      </w:r>
    </w:p>
    <w:p w14:paraId="5D5BAC1D" w14:textId="77777777" w:rsidR="00D713D0" w:rsidRDefault="00000000">
      <w:pPr>
        <w:spacing w:after="80" w:line="276" w:lineRule="auto"/>
        <w:ind w:left="440" w:hanging="220"/>
        <w:jc w:val="both"/>
      </w:pPr>
      <w:r>
        <w:rPr>
          <w:b/>
          <w:bCs/>
          <w:color w:val="185FA5"/>
        </w:rPr>
        <w:t xml:space="preserve">•  </w:t>
      </w:r>
      <w:r>
        <w:rPr>
          <w:color w:val="000000"/>
        </w:rPr>
        <w:t>El uso del correo corporativo para fines personales debe ser mínimo y no debe interferir con las responsabilidades laborales ni comprometer la seguridad del servicio.</w:t>
      </w:r>
    </w:p>
    <w:p w14:paraId="5D5BAC1E" w14:textId="77777777" w:rsidR="00D713D0" w:rsidRDefault="00000000">
      <w:pPr>
        <w:spacing w:after="80" w:line="276" w:lineRule="auto"/>
        <w:ind w:left="440" w:hanging="220"/>
        <w:jc w:val="both"/>
      </w:pPr>
      <w:r>
        <w:rPr>
          <w:b/>
          <w:bCs/>
          <w:color w:val="185FA5"/>
        </w:rPr>
        <w:t xml:space="preserve">•  </w:t>
      </w:r>
      <w:r>
        <w:rPr>
          <w:color w:val="000000"/>
        </w:rPr>
        <w:t>Los usuarios son responsables de la confidencialidad de sus credenciales de acceso. La compartición de contraseñas está expresamente prohibida.</w:t>
      </w:r>
    </w:p>
    <w:p w14:paraId="5D5BAC1F" w14:textId="77777777" w:rsidR="00D713D0" w:rsidRDefault="00000000">
      <w:pPr>
        <w:spacing w:after="80" w:line="276" w:lineRule="auto"/>
        <w:ind w:left="440" w:hanging="220"/>
        <w:jc w:val="both"/>
      </w:pPr>
      <w:r>
        <w:rPr>
          <w:b/>
          <w:bCs/>
          <w:color w:val="185FA5"/>
        </w:rPr>
        <w:t xml:space="preserve">•  </w:t>
      </w:r>
      <w:r>
        <w:rPr>
          <w:color w:val="000000"/>
        </w:rPr>
        <w:t>Ningún mensaje enviado desde un buzón corporativo debe contener información que comprometa la reputación, la confidencialidad o los intereses legales de la organización.</w:t>
      </w:r>
    </w:p>
    <w:p w14:paraId="5D5BAC20" w14:textId="77777777" w:rsidR="00D713D0" w:rsidRDefault="00000000">
      <w:pPr>
        <w:spacing w:after="80" w:line="276" w:lineRule="auto"/>
        <w:ind w:left="440" w:hanging="220"/>
        <w:jc w:val="both"/>
      </w:pPr>
      <w:r>
        <w:rPr>
          <w:b/>
          <w:bCs/>
          <w:color w:val="185FA5"/>
        </w:rPr>
        <w:t xml:space="preserve">•  </w:t>
      </w:r>
      <w:r>
        <w:rPr>
          <w:color w:val="000000"/>
        </w:rPr>
        <w:t>El equipo de TI es responsable de la segurización, disponibilidad y gestión del servicio. Los usuarios son responsables del uso adecuado de sus buzones.</w:t>
      </w:r>
    </w:p>
    <w:p w14:paraId="5D5BAC21"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5. Uso Aceptable del Correo Electrónico</w:t>
      </w:r>
    </w:p>
    <w:p w14:paraId="5D5BAC22" w14:textId="77777777" w:rsidR="00D713D0" w:rsidRDefault="00000000">
      <w:pPr>
        <w:spacing w:after="120" w:line="276" w:lineRule="auto"/>
        <w:jc w:val="both"/>
      </w:pPr>
      <w:r>
        <w:rPr>
          <w:color w:val="000000"/>
        </w:rPr>
        <w:t>Se considera uso aceptable del correo electrónico corporativo el siguiente:</w:t>
      </w:r>
    </w:p>
    <w:p w14:paraId="5D5BAC23" w14:textId="77777777" w:rsidR="00D713D0" w:rsidRDefault="00000000">
      <w:pPr>
        <w:spacing w:after="80" w:line="276" w:lineRule="auto"/>
        <w:ind w:left="440" w:hanging="220"/>
        <w:jc w:val="both"/>
      </w:pPr>
      <w:r>
        <w:rPr>
          <w:b/>
          <w:bCs/>
          <w:color w:val="185FA5"/>
        </w:rPr>
        <w:t xml:space="preserve">•  </w:t>
      </w:r>
      <w:r>
        <w:rPr>
          <w:color w:val="000000"/>
        </w:rPr>
        <w:t>Comunicaciones relacionadas con las funciones y responsabilidades del cargo.</w:t>
      </w:r>
    </w:p>
    <w:p w14:paraId="5D5BAC24" w14:textId="77777777" w:rsidR="00D713D0" w:rsidRDefault="00000000">
      <w:pPr>
        <w:spacing w:after="80" w:line="276" w:lineRule="auto"/>
        <w:ind w:left="440" w:hanging="220"/>
        <w:jc w:val="both"/>
      </w:pPr>
      <w:r>
        <w:rPr>
          <w:b/>
          <w:bCs/>
          <w:color w:val="185FA5"/>
        </w:rPr>
        <w:t xml:space="preserve">•  </w:t>
      </w:r>
      <w:r>
        <w:rPr>
          <w:color w:val="000000"/>
        </w:rPr>
        <w:t>Envío y recepción de documentos de trabajo, cotizaciones, contratos y comunicaciones comerciales.</w:t>
      </w:r>
    </w:p>
    <w:p w14:paraId="5D5BAC25" w14:textId="77777777" w:rsidR="00D713D0" w:rsidRDefault="00000000">
      <w:pPr>
        <w:spacing w:after="80" w:line="276" w:lineRule="auto"/>
        <w:ind w:left="440" w:hanging="220"/>
        <w:jc w:val="both"/>
      </w:pPr>
      <w:r>
        <w:rPr>
          <w:b/>
          <w:bCs/>
          <w:color w:val="185FA5"/>
        </w:rPr>
        <w:t xml:space="preserve">•  </w:t>
      </w:r>
      <w:r>
        <w:rPr>
          <w:color w:val="000000"/>
        </w:rPr>
        <w:t>Coordinación interna de proyectos, reuniones y actividades institucionales.</w:t>
      </w:r>
    </w:p>
    <w:p w14:paraId="5D5BAC26" w14:textId="77777777" w:rsidR="00D713D0" w:rsidRDefault="00000000">
      <w:pPr>
        <w:spacing w:after="80" w:line="276" w:lineRule="auto"/>
        <w:ind w:left="440" w:hanging="220"/>
        <w:jc w:val="both"/>
      </w:pPr>
      <w:r>
        <w:rPr>
          <w:b/>
          <w:bCs/>
          <w:color w:val="185FA5"/>
        </w:rPr>
        <w:t xml:space="preserve">•  </w:t>
      </w:r>
      <w:r>
        <w:rPr>
          <w:color w:val="000000"/>
        </w:rPr>
        <w:t>Comunicación con clientes, proveedores y socios de negocio en representación de la organización.</w:t>
      </w:r>
    </w:p>
    <w:p w14:paraId="5D5BAC27" w14:textId="77777777" w:rsidR="00D713D0" w:rsidRDefault="00000000">
      <w:pPr>
        <w:spacing w:after="80" w:line="276" w:lineRule="auto"/>
        <w:ind w:left="440" w:hanging="220"/>
        <w:jc w:val="both"/>
      </w:pPr>
      <w:r>
        <w:rPr>
          <w:b/>
          <w:bCs/>
          <w:color w:val="185FA5"/>
        </w:rPr>
        <w:t xml:space="preserve">•  </w:t>
      </w:r>
      <w:r>
        <w:rPr>
          <w:color w:val="000000"/>
        </w:rPr>
        <w:t>Notificaciones y alertas de sistemas y plataformas corporativas.</w:t>
      </w:r>
    </w:p>
    <w:p w14:paraId="5D5BAC28" w14:textId="77777777" w:rsidR="00D713D0" w:rsidRDefault="00D713D0">
      <w:pPr>
        <w:spacing w:after="80"/>
      </w:pPr>
    </w:p>
    <w:p w14:paraId="5D5BAC29" w14:textId="77777777" w:rsidR="00D713D0" w:rsidRDefault="00000000">
      <w:pPr>
        <w:spacing w:after="120" w:line="276" w:lineRule="auto"/>
        <w:jc w:val="both"/>
      </w:pPr>
      <w:r>
        <w:rPr>
          <w:color w:val="000000"/>
        </w:rPr>
        <w:t>Se considera uso no aceptable, y por tanto prohibido, el siguiente:</w:t>
      </w:r>
    </w:p>
    <w:p w14:paraId="5D5BAC2A" w14:textId="77777777" w:rsidR="00D713D0" w:rsidRDefault="00000000">
      <w:pPr>
        <w:spacing w:after="80" w:line="276" w:lineRule="auto"/>
        <w:ind w:left="440" w:hanging="220"/>
        <w:jc w:val="both"/>
      </w:pPr>
      <w:r>
        <w:rPr>
          <w:b/>
          <w:bCs/>
          <w:color w:val="185FA5"/>
        </w:rPr>
        <w:t xml:space="preserve">•  </w:t>
      </w:r>
      <w:r>
        <w:rPr>
          <w:color w:val="000000"/>
        </w:rPr>
        <w:t>Reenviar mensajes corporativos a cuentas de correo personales (</w:t>
      </w:r>
      <w:proofErr w:type="spellStart"/>
      <w:r>
        <w:rPr>
          <w:color w:val="000000"/>
        </w:rPr>
        <w:t>gmail</w:t>
      </w:r>
      <w:proofErr w:type="spellEnd"/>
      <w:r>
        <w:rPr>
          <w:color w:val="000000"/>
        </w:rPr>
        <w:t xml:space="preserve">, </w:t>
      </w:r>
      <w:proofErr w:type="spellStart"/>
      <w:r>
        <w:rPr>
          <w:color w:val="000000"/>
        </w:rPr>
        <w:t>hotmail</w:t>
      </w:r>
      <w:proofErr w:type="spellEnd"/>
      <w:r>
        <w:rPr>
          <w:color w:val="000000"/>
        </w:rPr>
        <w:t xml:space="preserve">, </w:t>
      </w:r>
      <w:proofErr w:type="spellStart"/>
      <w:r>
        <w:rPr>
          <w:color w:val="000000"/>
        </w:rPr>
        <w:t>yahoo</w:t>
      </w:r>
      <w:proofErr w:type="spellEnd"/>
      <w:r>
        <w:rPr>
          <w:color w:val="000000"/>
        </w:rPr>
        <w:t xml:space="preserve"> u otros dominios no corporativos).</w:t>
      </w:r>
    </w:p>
    <w:p w14:paraId="5D5BAC2B" w14:textId="77777777" w:rsidR="00D713D0" w:rsidRDefault="00000000">
      <w:pPr>
        <w:spacing w:after="80" w:line="276" w:lineRule="auto"/>
        <w:ind w:left="440" w:hanging="220"/>
        <w:jc w:val="both"/>
      </w:pPr>
      <w:r>
        <w:rPr>
          <w:b/>
          <w:bCs/>
          <w:color w:val="185FA5"/>
        </w:rPr>
        <w:t xml:space="preserve">•  </w:t>
      </w:r>
      <w:r>
        <w:rPr>
          <w:color w:val="000000"/>
        </w:rPr>
        <w:t>Enviar, reenviar o almacenar contenido ilegal, ofensivo, discriminatorio, o que viole derechos de terceros.</w:t>
      </w:r>
    </w:p>
    <w:p w14:paraId="5D5BAC2C" w14:textId="77777777" w:rsidR="00D713D0" w:rsidRDefault="00000000">
      <w:pPr>
        <w:spacing w:after="80" w:line="276" w:lineRule="auto"/>
        <w:ind w:left="440" w:hanging="220"/>
        <w:jc w:val="both"/>
      </w:pPr>
      <w:r>
        <w:rPr>
          <w:b/>
          <w:bCs/>
          <w:color w:val="185FA5"/>
        </w:rPr>
        <w:t xml:space="preserve">•  </w:t>
      </w:r>
      <w:r>
        <w:rPr>
          <w:color w:val="000000"/>
        </w:rPr>
        <w:t>Suscribir el buzón corporativo a boletines, listas de correo o servicios no relacionados con las funciones del cargo.</w:t>
      </w:r>
    </w:p>
    <w:p w14:paraId="5D5BAC2D" w14:textId="77777777" w:rsidR="00D713D0" w:rsidRDefault="00000000">
      <w:pPr>
        <w:spacing w:after="80" w:line="276" w:lineRule="auto"/>
        <w:ind w:left="440" w:hanging="220"/>
        <w:jc w:val="both"/>
      </w:pPr>
      <w:r>
        <w:rPr>
          <w:b/>
          <w:bCs/>
          <w:color w:val="185FA5"/>
        </w:rPr>
        <w:t xml:space="preserve">•  </w:t>
      </w:r>
      <w:r>
        <w:rPr>
          <w:color w:val="000000"/>
        </w:rPr>
        <w:t>Usar el correo corporativo para actividades comerciales propias o de terceros sin autorización expresa.</w:t>
      </w:r>
    </w:p>
    <w:p w14:paraId="5D5BAC2E" w14:textId="77777777" w:rsidR="00D713D0" w:rsidRDefault="00000000">
      <w:pPr>
        <w:spacing w:after="80" w:line="276" w:lineRule="auto"/>
        <w:ind w:left="440" w:hanging="220"/>
        <w:jc w:val="both"/>
      </w:pPr>
      <w:r>
        <w:rPr>
          <w:b/>
          <w:bCs/>
          <w:color w:val="185FA5"/>
        </w:rPr>
        <w:t xml:space="preserve">•  </w:t>
      </w:r>
      <w:r>
        <w:rPr>
          <w:color w:val="000000"/>
        </w:rPr>
        <w:t>Abrir archivos adjuntos o hacer clic en enlaces de mensajes de origen desconocido o sospechoso.</w:t>
      </w:r>
    </w:p>
    <w:p w14:paraId="5D5BAC2F" w14:textId="77777777" w:rsidR="00D713D0" w:rsidRDefault="00000000">
      <w:pPr>
        <w:spacing w:after="80" w:line="276" w:lineRule="auto"/>
        <w:ind w:left="440" w:hanging="220"/>
        <w:jc w:val="both"/>
      </w:pPr>
      <w:r>
        <w:rPr>
          <w:b/>
          <w:bCs/>
          <w:color w:val="185FA5"/>
        </w:rPr>
        <w:t xml:space="preserve">•  </w:t>
      </w:r>
      <w:r>
        <w:rPr>
          <w:color w:val="000000"/>
        </w:rPr>
        <w:t>Configurar reglas de reenvío automático hacia dominios externos sin autorización del equipo de TI.</w:t>
      </w:r>
    </w:p>
    <w:p w14:paraId="5D5BAC30" w14:textId="77777777" w:rsidR="00D713D0" w:rsidRDefault="00000000">
      <w:pPr>
        <w:spacing w:after="80" w:line="276" w:lineRule="auto"/>
        <w:ind w:left="440" w:hanging="220"/>
        <w:jc w:val="both"/>
      </w:pPr>
      <w:r>
        <w:rPr>
          <w:b/>
          <w:bCs/>
          <w:color w:val="185FA5"/>
        </w:rPr>
        <w:t xml:space="preserve">•  </w:t>
      </w:r>
      <w:r>
        <w:rPr>
          <w:color w:val="000000"/>
        </w:rPr>
        <w:t>Compartir credenciales de acceso al buzón con compañeros, familiares o terceros.</w:t>
      </w:r>
    </w:p>
    <w:p w14:paraId="5D5BAC31" w14:textId="77777777" w:rsidR="00D713D0" w:rsidRDefault="00000000">
      <w:pPr>
        <w:pBdr>
          <w:left w:val="single" w:sz="18" w:space="0" w:color="185FA5"/>
        </w:pBdr>
        <w:shd w:val="clear" w:color="auto" w:fill="D6E4F0"/>
        <w:spacing w:before="120" w:after="120" w:line="276" w:lineRule="auto"/>
        <w:ind w:left="360"/>
        <w:jc w:val="both"/>
      </w:pPr>
      <w:r>
        <w:rPr>
          <w:b/>
          <w:bCs/>
          <w:i/>
          <w:iCs/>
          <w:color w:val="185FA5"/>
        </w:rPr>
        <w:t xml:space="preserve">Nota: </w:t>
      </w:r>
      <w:r>
        <w:rPr>
          <w:i/>
          <w:iCs/>
          <w:color w:val="000000"/>
        </w:rPr>
        <w:t>Ante la duda sobre la legitimidad de un mensaje recibido, el usuario debe reportarlo al equipo de TI antes de abrir adjuntos o hacer clic en cualquier enlace. El equipo de TI no aplicará sanciones por reportes de buena fe, incluso si el mensaje resulta ser legítimo.</w:t>
      </w:r>
    </w:p>
    <w:p w14:paraId="5D5BAC32"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lastRenderedPageBreak/>
        <w:t>6. Gestión de Buzones</w:t>
      </w:r>
    </w:p>
    <w:p w14:paraId="5D5BAC33" w14:textId="77777777" w:rsidR="00D713D0" w:rsidRDefault="00000000">
      <w:pPr>
        <w:spacing w:before="160" w:after="80"/>
      </w:pPr>
      <w:r>
        <w:rPr>
          <w:rFonts w:ascii="Calibri" w:eastAsia="Calibri" w:hAnsi="Calibri" w:cs="Calibri"/>
          <w:b/>
          <w:bCs/>
          <w:color w:val="5F5E5A"/>
          <w:sz w:val="22"/>
          <w:szCs w:val="22"/>
        </w:rPr>
        <w:t>6.1. Nomenclatura</w:t>
      </w:r>
    </w:p>
    <w:p w14:paraId="5D5BAC34" w14:textId="77777777" w:rsidR="00D713D0" w:rsidRDefault="00000000">
      <w:pPr>
        <w:spacing w:after="120" w:line="276" w:lineRule="auto"/>
        <w:jc w:val="both"/>
      </w:pPr>
      <w:r>
        <w:rPr>
          <w:color w:val="000000"/>
        </w:rPr>
        <w:t>La nomenclatura de los buzones corporativos seguirá el estándar definido por el equipo de TI. Se recomienda el formato nombre.apellido@dominio.com para buzones individuales. Los buzones compartidos y listas de distribución usarán nombres funcionales descriptivos (ej. soporte@, contabilidad@, gerencia@).</w:t>
      </w:r>
    </w:p>
    <w:p w14:paraId="5D5BAC35" w14:textId="77777777" w:rsidR="00D713D0" w:rsidRDefault="00000000">
      <w:pPr>
        <w:spacing w:before="160" w:after="80"/>
      </w:pPr>
      <w:r>
        <w:rPr>
          <w:rFonts w:ascii="Calibri" w:eastAsia="Calibri" w:hAnsi="Calibri" w:cs="Calibri"/>
          <w:b/>
          <w:bCs/>
          <w:color w:val="5F5E5A"/>
          <w:sz w:val="22"/>
          <w:szCs w:val="22"/>
        </w:rPr>
        <w:t>6.2. Creación de buzones</w:t>
      </w:r>
    </w:p>
    <w:p w14:paraId="5D5BAC36" w14:textId="77777777" w:rsidR="00D713D0" w:rsidRDefault="00000000">
      <w:pPr>
        <w:spacing w:after="120" w:line="276" w:lineRule="auto"/>
        <w:jc w:val="both"/>
      </w:pPr>
      <w:r>
        <w:rPr>
          <w:color w:val="000000"/>
        </w:rPr>
        <w:t>La creación de un nuevo buzón debe estar asociada a un proceso formal de incorporación de colaborador o a una necesidad funcional documentada. Toda solicitud de creación debe incluir: nombre completo del titular o propósito del buzón, área funcional, fecha de inicio y tipo de licencia requerida. El equipo de TI tiene un plazo máximo de [X] días hábiles para aprovisionar el buzón desde la recepción de la solicitud.</w:t>
      </w:r>
    </w:p>
    <w:p w14:paraId="5D5BAC37" w14:textId="77777777" w:rsidR="00D713D0" w:rsidRDefault="00000000">
      <w:pPr>
        <w:spacing w:before="160" w:after="80"/>
      </w:pPr>
      <w:r>
        <w:rPr>
          <w:rFonts w:ascii="Calibri" w:eastAsia="Calibri" w:hAnsi="Calibri" w:cs="Calibri"/>
          <w:b/>
          <w:bCs/>
          <w:color w:val="5F5E5A"/>
          <w:sz w:val="22"/>
          <w:szCs w:val="22"/>
        </w:rPr>
        <w:t>6.3. Desactivación y eliminación</w:t>
      </w:r>
    </w:p>
    <w:p w14:paraId="5D5BAC38" w14:textId="77777777" w:rsidR="00D713D0" w:rsidRDefault="00000000">
      <w:pPr>
        <w:spacing w:after="120" w:line="276" w:lineRule="auto"/>
        <w:jc w:val="both"/>
      </w:pPr>
      <w:r>
        <w:rPr>
          <w:color w:val="000000"/>
        </w:rPr>
        <w:t>Al momento de la desvinculación de un colaborador, el buzón debe ser desactivado dentro de las primeras 24 horas siguientes a la fecha efectiva de salida. El acceso a los mensajes del buzón desactivado puede ser habilitado temporalmente por el responsable del área, previa solicitud al equipo de TI, por un período máximo de 30 días para efectos de continuidad operativa. Transcurrido ese período, el buzón será eliminado y sus mensajes archivados según la política de retención vigente.</w:t>
      </w:r>
    </w:p>
    <w:p w14:paraId="5D5BAC39" w14:textId="77777777" w:rsidR="00D713D0" w:rsidRDefault="00000000">
      <w:pPr>
        <w:spacing w:before="160" w:after="80"/>
      </w:pPr>
      <w:r>
        <w:rPr>
          <w:rFonts w:ascii="Calibri" w:eastAsia="Calibri" w:hAnsi="Calibri" w:cs="Calibri"/>
          <w:b/>
          <w:bCs/>
          <w:color w:val="5F5E5A"/>
          <w:sz w:val="22"/>
          <w:szCs w:val="22"/>
        </w:rPr>
        <w:t>6.4. Acceso a buzones de terceros</w:t>
      </w:r>
    </w:p>
    <w:p w14:paraId="5D5BAC3A" w14:textId="77777777" w:rsidR="00D713D0" w:rsidRDefault="00000000">
      <w:pPr>
        <w:spacing w:after="120" w:line="276" w:lineRule="auto"/>
        <w:jc w:val="both"/>
      </w:pPr>
      <w:r>
        <w:rPr>
          <w:color w:val="000000"/>
        </w:rPr>
        <w:t>El acceso al buzón de un colaborador por parte de un tercero —incluyendo el equipo de TI o la dirección— solo está permitido en los siguientes supuestos: ausencia prolongada con impacto en la continuidad del negocio, investigación de un incidente de seguridad, requerimiento legal o regulatorio, o proceso de desvinculación. Todo acceso de este tipo debe quedar documentado con fecha, motivo y persona autorizada.</w:t>
      </w:r>
    </w:p>
    <w:p w14:paraId="5D5BAC3B"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7. Política de Retención de Mensajes</w:t>
      </w:r>
    </w:p>
    <w:p w14:paraId="5D5BAC3C" w14:textId="77777777" w:rsidR="00D713D0" w:rsidRDefault="00000000">
      <w:pPr>
        <w:spacing w:before="160" w:after="80"/>
      </w:pPr>
      <w:r>
        <w:rPr>
          <w:rFonts w:ascii="Calibri" w:eastAsia="Calibri" w:hAnsi="Calibri" w:cs="Calibri"/>
          <w:b/>
          <w:bCs/>
          <w:color w:val="5F5E5A"/>
          <w:sz w:val="22"/>
          <w:szCs w:val="22"/>
        </w:rPr>
        <w:t>7.1. Propósito y alcance</w:t>
      </w:r>
    </w:p>
    <w:p w14:paraId="5D5BAC3D" w14:textId="77777777" w:rsidR="00D713D0" w:rsidRDefault="00000000">
      <w:pPr>
        <w:spacing w:after="120" w:line="276" w:lineRule="auto"/>
        <w:jc w:val="both"/>
      </w:pPr>
      <w:r>
        <w:rPr>
          <w:color w:val="000000"/>
        </w:rPr>
        <w:t>El correo electrónico es un repositorio de evidencia corporativa: contratos negociados por mensaje, instrucciones de pago, comunicaciones con clientes y acuerdos con proveedores conviven en los buzones junto con mensajes de escaso valor operativo. Sin una política de retención, los mensajes se acumulan indefinidamente —ampliando la superficie de exposición ante un eventual ataque— o se eliminan prematuramente, destruyendo evidencia que podría ser requerida en un proceso legal, una auditoría o una investigación interna. Esta sección establece los períodos de conservación, las reglas de archivo y eliminación, y el procedimiento de Reserva Legal aplicables a todos los buzones corporativos.</w:t>
      </w:r>
    </w:p>
    <w:p w14:paraId="5D5BAC3E" w14:textId="77777777" w:rsidR="00D713D0" w:rsidRDefault="00000000">
      <w:pPr>
        <w:spacing w:before="160" w:after="80"/>
      </w:pPr>
      <w:r>
        <w:rPr>
          <w:rFonts w:ascii="Calibri" w:eastAsia="Calibri" w:hAnsi="Calibri" w:cs="Calibri"/>
          <w:b/>
          <w:bCs/>
          <w:color w:val="5F5E5A"/>
          <w:sz w:val="22"/>
          <w:szCs w:val="22"/>
        </w:rPr>
        <w:t>7.2. Períodos de retención</w:t>
      </w:r>
    </w:p>
    <w:p w14:paraId="5D5BAC3F" w14:textId="77777777" w:rsidR="00D713D0" w:rsidRDefault="00000000">
      <w:pPr>
        <w:spacing w:after="120" w:line="276" w:lineRule="auto"/>
        <w:jc w:val="both"/>
      </w:pPr>
      <w:r>
        <w:rPr>
          <w:color w:val="000000"/>
        </w:rPr>
        <w:t>Los períodos de retención aplicables a los buzones corporativos son los siguientes:</w:t>
      </w:r>
    </w:p>
    <w:p w14:paraId="5D5BAC40" w14:textId="77777777" w:rsidR="00D713D0" w:rsidRDefault="00D713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80"/>
        <w:gridCol w:w="2180"/>
        <w:gridCol w:w="2000"/>
      </w:tblGrid>
      <w:tr w:rsidR="00D713D0" w14:paraId="5D5BAC45"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41" w14:textId="77777777" w:rsidR="00D713D0" w:rsidRDefault="00000000">
            <w:r>
              <w:rPr>
                <w:rFonts w:ascii="Calibri" w:eastAsia="Calibri" w:hAnsi="Calibri" w:cs="Calibri"/>
                <w:b/>
                <w:bCs/>
                <w:color w:val="FFFFFF"/>
                <w:sz w:val="18"/>
                <w:szCs w:val="18"/>
              </w:rPr>
              <w:t>Tipo de buzón / comunicación</w:t>
            </w:r>
          </w:p>
        </w:tc>
        <w:tc>
          <w:tcPr>
            <w:tcW w:w="218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42" w14:textId="77777777" w:rsidR="00D713D0" w:rsidRDefault="00000000">
            <w:r>
              <w:rPr>
                <w:rFonts w:ascii="Calibri" w:eastAsia="Calibri" w:hAnsi="Calibri" w:cs="Calibri"/>
                <w:b/>
                <w:bCs/>
                <w:color w:val="FFFFFF"/>
                <w:sz w:val="18"/>
                <w:szCs w:val="18"/>
              </w:rPr>
              <w:t>Retención activa</w:t>
            </w:r>
          </w:p>
        </w:tc>
        <w:tc>
          <w:tcPr>
            <w:tcW w:w="218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43" w14:textId="77777777" w:rsidR="00D713D0" w:rsidRDefault="00000000">
            <w:r>
              <w:rPr>
                <w:rFonts w:ascii="Calibri" w:eastAsia="Calibri" w:hAnsi="Calibri" w:cs="Calibri"/>
                <w:b/>
                <w:bCs/>
                <w:color w:val="FFFFFF"/>
                <w:sz w:val="18"/>
                <w:szCs w:val="18"/>
              </w:rPr>
              <w:t>Retención en archivo</w:t>
            </w:r>
          </w:p>
        </w:tc>
        <w:tc>
          <w:tcPr>
            <w:tcW w:w="20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44" w14:textId="77777777" w:rsidR="00D713D0" w:rsidRDefault="00000000">
            <w:r>
              <w:rPr>
                <w:rFonts w:ascii="Calibri" w:eastAsia="Calibri" w:hAnsi="Calibri" w:cs="Calibri"/>
                <w:b/>
                <w:bCs/>
                <w:color w:val="FFFFFF"/>
                <w:sz w:val="18"/>
                <w:szCs w:val="18"/>
              </w:rPr>
              <w:t>Eliminación</w:t>
            </w:r>
          </w:p>
        </w:tc>
      </w:tr>
      <w:tr w:rsidR="00D713D0" w14:paraId="5D5BAC4A"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46" w14:textId="77777777" w:rsidR="00D713D0" w:rsidRDefault="00000000">
            <w:r>
              <w:rPr>
                <w:color w:val="000000"/>
                <w:sz w:val="18"/>
                <w:szCs w:val="18"/>
              </w:rPr>
              <w:t>Usuarios generales</w:t>
            </w:r>
          </w:p>
        </w:tc>
        <w:tc>
          <w:tcPr>
            <w:tcW w:w="218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47" w14:textId="77777777" w:rsidR="00D713D0" w:rsidRDefault="00000000">
            <w:r>
              <w:rPr>
                <w:color w:val="000000"/>
                <w:sz w:val="18"/>
                <w:szCs w:val="18"/>
              </w:rPr>
              <w:t>90 días</w:t>
            </w:r>
          </w:p>
        </w:tc>
        <w:tc>
          <w:tcPr>
            <w:tcW w:w="218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48" w14:textId="77777777" w:rsidR="00D713D0" w:rsidRDefault="00000000">
            <w:r>
              <w:rPr>
                <w:color w:val="000000"/>
                <w:sz w:val="18"/>
                <w:szCs w:val="18"/>
              </w:rPr>
              <w:t>1 año</w:t>
            </w:r>
          </w:p>
        </w:tc>
        <w:tc>
          <w:tcPr>
            <w:tcW w:w="2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49" w14:textId="77777777" w:rsidR="00D713D0" w:rsidRDefault="00000000">
            <w:r>
              <w:rPr>
                <w:color w:val="000000"/>
                <w:sz w:val="18"/>
                <w:szCs w:val="18"/>
              </w:rPr>
              <w:t>Borrado seguro</w:t>
            </w:r>
          </w:p>
        </w:tc>
      </w:tr>
      <w:tr w:rsidR="00D713D0" w14:paraId="5D5BAC4F"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4B" w14:textId="77777777" w:rsidR="00D713D0" w:rsidRDefault="00000000">
            <w:r>
              <w:rPr>
                <w:color w:val="000000"/>
                <w:sz w:val="18"/>
                <w:szCs w:val="18"/>
              </w:rPr>
              <w:t>Ejecutivos y áreas financieras</w:t>
            </w:r>
          </w:p>
        </w:tc>
        <w:tc>
          <w:tcPr>
            <w:tcW w:w="218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4C" w14:textId="77777777" w:rsidR="00D713D0" w:rsidRDefault="00000000">
            <w:r>
              <w:rPr>
                <w:color w:val="000000"/>
                <w:sz w:val="18"/>
                <w:szCs w:val="18"/>
              </w:rPr>
              <w:t>180 días</w:t>
            </w:r>
          </w:p>
        </w:tc>
        <w:tc>
          <w:tcPr>
            <w:tcW w:w="218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4D" w14:textId="77777777" w:rsidR="00D713D0" w:rsidRDefault="00000000">
            <w:r>
              <w:rPr>
                <w:color w:val="000000"/>
                <w:sz w:val="18"/>
                <w:szCs w:val="18"/>
              </w:rPr>
              <w:t>3 años</w:t>
            </w:r>
          </w:p>
        </w:tc>
        <w:tc>
          <w:tcPr>
            <w:tcW w:w="2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4E" w14:textId="77777777" w:rsidR="00D713D0" w:rsidRDefault="00000000">
            <w:r>
              <w:rPr>
                <w:color w:val="000000"/>
                <w:sz w:val="18"/>
                <w:szCs w:val="18"/>
              </w:rPr>
              <w:t>Borrado seguro</w:t>
            </w:r>
          </w:p>
        </w:tc>
      </w:tr>
      <w:tr w:rsidR="00D713D0" w14:paraId="5D5BAC54"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50" w14:textId="77777777" w:rsidR="00D713D0" w:rsidRDefault="00000000">
            <w:r>
              <w:rPr>
                <w:color w:val="000000"/>
                <w:sz w:val="18"/>
                <w:szCs w:val="18"/>
              </w:rPr>
              <w:t>Buzones funcionales / compartidos</w:t>
            </w:r>
          </w:p>
        </w:tc>
        <w:tc>
          <w:tcPr>
            <w:tcW w:w="218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51" w14:textId="77777777" w:rsidR="00D713D0" w:rsidRDefault="00000000">
            <w:r>
              <w:rPr>
                <w:color w:val="000000"/>
                <w:sz w:val="18"/>
                <w:szCs w:val="18"/>
              </w:rPr>
              <w:t>180 días</w:t>
            </w:r>
          </w:p>
        </w:tc>
        <w:tc>
          <w:tcPr>
            <w:tcW w:w="218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52" w14:textId="77777777" w:rsidR="00D713D0" w:rsidRDefault="00000000">
            <w:r>
              <w:rPr>
                <w:color w:val="000000"/>
                <w:sz w:val="18"/>
                <w:szCs w:val="18"/>
              </w:rPr>
              <w:t>2 años</w:t>
            </w:r>
          </w:p>
        </w:tc>
        <w:tc>
          <w:tcPr>
            <w:tcW w:w="2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53" w14:textId="77777777" w:rsidR="00D713D0" w:rsidRDefault="00000000">
            <w:r>
              <w:rPr>
                <w:color w:val="000000"/>
                <w:sz w:val="18"/>
                <w:szCs w:val="18"/>
              </w:rPr>
              <w:t>Borrado seguro</w:t>
            </w:r>
          </w:p>
        </w:tc>
      </w:tr>
      <w:tr w:rsidR="00D713D0" w14:paraId="5D5BAC59"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55" w14:textId="77777777" w:rsidR="00D713D0" w:rsidRDefault="00000000">
            <w:r>
              <w:rPr>
                <w:color w:val="000000"/>
                <w:sz w:val="18"/>
                <w:szCs w:val="18"/>
              </w:rPr>
              <w:t>Buzones bajo Reserva Legal</w:t>
            </w:r>
          </w:p>
        </w:tc>
        <w:tc>
          <w:tcPr>
            <w:tcW w:w="218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56" w14:textId="77777777" w:rsidR="00D713D0" w:rsidRDefault="00000000">
            <w:r>
              <w:rPr>
                <w:color w:val="000000"/>
                <w:sz w:val="18"/>
                <w:szCs w:val="18"/>
              </w:rPr>
              <w:t>Indefinida (hasta levantamiento)</w:t>
            </w:r>
          </w:p>
        </w:tc>
        <w:tc>
          <w:tcPr>
            <w:tcW w:w="218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57" w14:textId="77777777" w:rsidR="00D713D0" w:rsidRDefault="00000000">
            <w:r>
              <w:rPr>
                <w:color w:val="000000"/>
                <w:sz w:val="18"/>
                <w:szCs w:val="18"/>
              </w:rPr>
              <w:t>—</w:t>
            </w:r>
          </w:p>
        </w:tc>
        <w:tc>
          <w:tcPr>
            <w:tcW w:w="2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58" w14:textId="77777777" w:rsidR="00D713D0" w:rsidRDefault="00000000">
            <w:r>
              <w:rPr>
                <w:color w:val="000000"/>
                <w:sz w:val="18"/>
                <w:szCs w:val="18"/>
              </w:rPr>
              <w:t>Solo por orden expresa</w:t>
            </w:r>
          </w:p>
        </w:tc>
      </w:tr>
    </w:tbl>
    <w:p w14:paraId="5D5BAC5A" w14:textId="77777777" w:rsidR="00D713D0" w:rsidRDefault="00D713D0">
      <w:pPr>
        <w:spacing w:after="160"/>
      </w:pPr>
    </w:p>
    <w:p w14:paraId="5D5BAC5B" w14:textId="77777777" w:rsidR="00D713D0" w:rsidRDefault="00000000">
      <w:pPr>
        <w:pBdr>
          <w:left w:val="single" w:sz="18" w:space="0" w:color="185FA5"/>
        </w:pBdr>
        <w:shd w:val="clear" w:color="auto" w:fill="D6E4F0"/>
        <w:spacing w:before="120" w:after="120" w:line="276" w:lineRule="auto"/>
        <w:ind w:left="360"/>
        <w:jc w:val="both"/>
      </w:pPr>
      <w:r>
        <w:rPr>
          <w:b/>
          <w:bCs/>
          <w:i/>
          <w:iCs/>
          <w:color w:val="185FA5"/>
        </w:rPr>
        <w:lastRenderedPageBreak/>
        <w:t xml:space="preserve">Nota: </w:t>
      </w:r>
      <w:r>
        <w:rPr>
          <w:i/>
          <w:iCs/>
          <w:color w:val="000000"/>
        </w:rPr>
        <w:t>Los períodos indicados son mínimos recomendados. Sectores regulados (financiero, salud, servicios públicos) pueden estar sujetos a períodos de retención más largos establecidos por la legislación aplicable. En la mayoría de los países de Latinoamérica, los registros con valor contable o tributario deben conservarse entre cinco y diez años, y los de carácter laboral hasta cinco años después del término de la relación. Consulte con el área legal o contable antes de definir los períodos definitivos para su organización.</w:t>
      </w:r>
    </w:p>
    <w:p w14:paraId="5D5BAC5C" w14:textId="77777777" w:rsidR="00D713D0" w:rsidRDefault="00000000">
      <w:pPr>
        <w:spacing w:before="160" w:after="80"/>
      </w:pPr>
      <w:r>
        <w:rPr>
          <w:rFonts w:ascii="Calibri" w:eastAsia="Calibri" w:hAnsi="Calibri" w:cs="Calibri"/>
          <w:b/>
          <w:bCs/>
          <w:color w:val="5F5E5A"/>
          <w:sz w:val="22"/>
          <w:szCs w:val="22"/>
        </w:rPr>
        <w:t>7.3. Fases del ciclo de vida del mensaje</w:t>
      </w:r>
    </w:p>
    <w:p w14:paraId="5D5BAC5D" w14:textId="77777777" w:rsidR="00D713D0" w:rsidRDefault="00000000">
      <w:pPr>
        <w:spacing w:after="120" w:line="276" w:lineRule="auto"/>
        <w:jc w:val="both"/>
      </w:pPr>
      <w:r>
        <w:rPr>
          <w:color w:val="000000"/>
        </w:rPr>
        <w:t>Cada mensaje corporativo atraviesa tres fases a lo largo de su ciclo de vida:</w:t>
      </w:r>
    </w:p>
    <w:p w14:paraId="5D5BAC5E" w14:textId="77777777" w:rsidR="00D713D0" w:rsidRDefault="00000000">
      <w:pPr>
        <w:spacing w:after="80" w:line="276" w:lineRule="auto"/>
        <w:ind w:left="440" w:hanging="220"/>
        <w:jc w:val="both"/>
      </w:pPr>
      <w:r>
        <w:rPr>
          <w:b/>
          <w:bCs/>
          <w:color w:val="185FA5"/>
        </w:rPr>
        <w:t xml:space="preserve">•  </w:t>
      </w:r>
      <w:r>
        <w:rPr>
          <w:color w:val="000000"/>
        </w:rPr>
        <w:t xml:space="preserve">Retención activa: el mensaje permanece en el buzón del usuario y es accesible de forma directa desde su cliente de correo. Durante esta fase, el usuario puede eliminarlo manualmente; sin embargo, las plataformas que soporten políticas de retención (Microsoft 365, Google </w:t>
      </w:r>
      <w:proofErr w:type="spellStart"/>
      <w:r>
        <w:rPr>
          <w:color w:val="000000"/>
        </w:rPr>
        <w:t>Workspace</w:t>
      </w:r>
      <w:proofErr w:type="spellEnd"/>
      <w:r>
        <w:rPr>
          <w:color w:val="000000"/>
        </w:rPr>
        <w:t>) pueden configurarse para impedir la eliminación definitiva antes de que expire el período mínimo, independientemente de la acción del usuario.</w:t>
      </w:r>
    </w:p>
    <w:p w14:paraId="5D5BAC5F" w14:textId="77777777" w:rsidR="00D713D0" w:rsidRDefault="00000000">
      <w:pPr>
        <w:spacing w:after="80" w:line="276" w:lineRule="auto"/>
        <w:ind w:left="440" w:hanging="220"/>
        <w:jc w:val="both"/>
      </w:pPr>
      <w:r>
        <w:rPr>
          <w:b/>
          <w:bCs/>
          <w:color w:val="185FA5"/>
        </w:rPr>
        <w:t xml:space="preserve">•  </w:t>
      </w:r>
      <w:r>
        <w:rPr>
          <w:color w:val="000000"/>
        </w:rPr>
        <w:t>Retención en archivo: una vez expirada la retención activa, el mensaje se traslada automáticamente a un archivo histórico de solo lectura, inaccesible desde el cliente de correo del usuario pero recuperable por el equipo de TI ante una solicitud justificada. Esta fase tiene como objetivo mantener la evidencia disponible sin ocupar espacio en el buzón activo.</w:t>
      </w:r>
    </w:p>
    <w:p w14:paraId="5D5BAC60" w14:textId="77777777" w:rsidR="00D713D0" w:rsidRDefault="00000000">
      <w:pPr>
        <w:spacing w:after="80" w:line="276" w:lineRule="auto"/>
        <w:ind w:left="440" w:hanging="220"/>
        <w:jc w:val="both"/>
      </w:pPr>
      <w:r>
        <w:rPr>
          <w:b/>
          <w:bCs/>
          <w:color w:val="185FA5"/>
        </w:rPr>
        <w:t xml:space="preserve">•  </w:t>
      </w:r>
      <w:r>
        <w:rPr>
          <w:color w:val="000000"/>
        </w:rPr>
        <w:t>Eliminación: al expirar el período de retención en archivo, el mensaje es eliminado de forma definitiva mediante el procedimiento de borrado seguro descrito en el punto 7.5 de esta sección. Ningún mensaje puede ser eliminado de forma anticipada sin la autorización documentada del responsable de TI y del propietario del buzón o del área.</w:t>
      </w:r>
    </w:p>
    <w:p w14:paraId="5D5BAC61" w14:textId="77777777" w:rsidR="00D713D0" w:rsidRDefault="00000000">
      <w:pPr>
        <w:spacing w:before="160" w:after="80"/>
      </w:pPr>
      <w:r>
        <w:rPr>
          <w:rFonts w:ascii="Calibri" w:eastAsia="Calibri" w:hAnsi="Calibri" w:cs="Calibri"/>
          <w:b/>
          <w:bCs/>
          <w:color w:val="5F5E5A"/>
          <w:sz w:val="22"/>
          <w:szCs w:val="22"/>
        </w:rPr>
        <w:t>7.4. Reserva Legal (</w:t>
      </w:r>
      <w:proofErr w:type="spellStart"/>
      <w:r>
        <w:rPr>
          <w:rFonts w:ascii="Calibri" w:eastAsia="Calibri" w:hAnsi="Calibri" w:cs="Calibri"/>
          <w:b/>
          <w:bCs/>
          <w:color w:val="5F5E5A"/>
          <w:sz w:val="22"/>
          <w:szCs w:val="22"/>
        </w:rPr>
        <w:t>Litigation</w:t>
      </w:r>
      <w:proofErr w:type="spellEnd"/>
      <w:r>
        <w:rPr>
          <w:rFonts w:ascii="Calibri" w:eastAsia="Calibri" w:hAnsi="Calibri" w:cs="Calibri"/>
          <w:b/>
          <w:bCs/>
          <w:color w:val="5F5E5A"/>
          <w:sz w:val="22"/>
          <w:szCs w:val="22"/>
        </w:rPr>
        <w:t xml:space="preserve"> Hold)</w:t>
      </w:r>
    </w:p>
    <w:p w14:paraId="5D5BAC62" w14:textId="77777777" w:rsidR="00D713D0" w:rsidRDefault="00000000">
      <w:pPr>
        <w:spacing w:after="120" w:line="276" w:lineRule="auto"/>
        <w:jc w:val="both"/>
      </w:pPr>
      <w:r>
        <w:rPr>
          <w:color w:val="000000"/>
        </w:rPr>
        <w:t>Cuando la organización se vea involucrada en un proceso legal, una auditoría externa o una investigación regulatoria que requiera la preservación de comunicaciones electrónicas, el equipo de TI debe activar una Reserva Legal (</w:t>
      </w:r>
      <w:proofErr w:type="spellStart"/>
      <w:r>
        <w:rPr>
          <w:color w:val="000000"/>
        </w:rPr>
        <w:t>Litigation</w:t>
      </w:r>
      <w:proofErr w:type="spellEnd"/>
      <w:r>
        <w:rPr>
          <w:color w:val="000000"/>
        </w:rPr>
        <w:t xml:space="preserve"> Hold) sobre los buzones afectados. La Reserva Legal suspende de forma inmediata la eliminación automática de todos los mensajes comprendidos en su alcance, independientemente de los períodos de retención vigentes, y permanece activa hasta que sea expresamente levantada.</w:t>
      </w:r>
    </w:p>
    <w:p w14:paraId="5D5BAC63" w14:textId="77777777" w:rsidR="00D713D0" w:rsidRDefault="00000000">
      <w:pPr>
        <w:spacing w:after="120" w:line="276" w:lineRule="auto"/>
        <w:jc w:val="both"/>
      </w:pPr>
      <w:r>
        <w:rPr>
          <w:color w:val="000000"/>
        </w:rPr>
        <w:t>El proceso de activación de una Reserva Legal comprende los pasos siguientes:</w:t>
      </w:r>
    </w:p>
    <w:p w14:paraId="5D5BAC64" w14:textId="77777777" w:rsidR="00D713D0" w:rsidRDefault="00000000">
      <w:pPr>
        <w:spacing w:after="80" w:line="276" w:lineRule="auto"/>
        <w:ind w:left="440" w:hanging="220"/>
        <w:jc w:val="both"/>
      </w:pPr>
      <w:r>
        <w:rPr>
          <w:b/>
          <w:bCs/>
          <w:color w:val="185FA5"/>
        </w:rPr>
        <w:t xml:space="preserve">•  </w:t>
      </w:r>
      <w:r>
        <w:rPr>
          <w:color w:val="000000"/>
        </w:rPr>
        <w:t>Recepción de la instrucción formal por parte de la gerencia o del área legal, con indicación de los buzones afectados, el rango de fechas y el motivo de la preservación.</w:t>
      </w:r>
    </w:p>
    <w:p w14:paraId="5D5BAC65" w14:textId="77777777" w:rsidR="00D713D0" w:rsidRDefault="00000000">
      <w:pPr>
        <w:spacing w:after="80" w:line="276" w:lineRule="auto"/>
        <w:ind w:left="440" w:hanging="220"/>
        <w:jc w:val="both"/>
      </w:pPr>
      <w:r>
        <w:rPr>
          <w:b/>
          <w:bCs/>
          <w:color w:val="185FA5"/>
        </w:rPr>
        <w:t xml:space="preserve">•  </w:t>
      </w:r>
      <w:r>
        <w:rPr>
          <w:color w:val="000000"/>
        </w:rPr>
        <w:t xml:space="preserve">Activación técnica del </w:t>
      </w:r>
      <w:proofErr w:type="spellStart"/>
      <w:r>
        <w:rPr>
          <w:color w:val="000000"/>
        </w:rPr>
        <w:t>hold</w:t>
      </w:r>
      <w:proofErr w:type="spellEnd"/>
      <w:r>
        <w:rPr>
          <w:color w:val="000000"/>
        </w:rPr>
        <w:t xml:space="preserve"> en la plataforma de correo. En Microsoft 365: Centro de cumplimiento &gt; Retención de contenido &gt; Crear directiva de retención. En Google </w:t>
      </w:r>
      <w:proofErr w:type="spellStart"/>
      <w:r>
        <w:rPr>
          <w:color w:val="000000"/>
        </w:rPr>
        <w:t>Workspace</w:t>
      </w:r>
      <w:proofErr w:type="spellEnd"/>
      <w:r>
        <w:rPr>
          <w:color w:val="000000"/>
        </w:rPr>
        <w:t>: Vault &gt; Conservaciones &gt; Nueva conservación.</w:t>
      </w:r>
    </w:p>
    <w:p w14:paraId="5D5BAC66" w14:textId="77777777" w:rsidR="00D713D0" w:rsidRDefault="00000000">
      <w:pPr>
        <w:spacing w:after="80" w:line="276" w:lineRule="auto"/>
        <w:ind w:left="440" w:hanging="220"/>
        <w:jc w:val="both"/>
      </w:pPr>
      <w:r>
        <w:rPr>
          <w:b/>
          <w:bCs/>
          <w:color w:val="185FA5"/>
        </w:rPr>
        <w:t xml:space="preserve">•  </w:t>
      </w:r>
      <w:r>
        <w:rPr>
          <w:color w:val="000000"/>
        </w:rPr>
        <w:t xml:space="preserve">Documentación del </w:t>
      </w:r>
      <w:proofErr w:type="spellStart"/>
      <w:r>
        <w:rPr>
          <w:color w:val="000000"/>
        </w:rPr>
        <w:t>hold</w:t>
      </w:r>
      <w:proofErr w:type="spellEnd"/>
      <w:r>
        <w:rPr>
          <w:color w:val="000000"/>
        </w:rPr>
        <w:t xml:space="preserve"> en el sistema de </w:t>
      </w:r>
      <w:proofErr w:type="gramStart"/>
      <w:r>
        <w:rPr>
          <w:color w:val="000000"/>
        </w:rPr>
        <w:t>tickets</w:t>
      </w:r>
      <w:proofErr w:type="gramEnd"/>
      <w:r>
        <w:rPr>
          <w:color w:val="000000"/>
        </w:rPr>
        <w:t>, con fecha de activación, buzones incluidos, responsable y referencia al proceso legal o regulatorio que la origina.</w:t>
      </w:r>
    </w:p>
    <w:p w14:paraId="5D5BAC67" w14:textId="77777777" w:rsidR="00D713D0" w:rsidRDefault="00000000">
      <w:pPr>
        <w:spacing w:after="80" w:line="276" w:lineRule="auto"/>
        <w:ind w:left="440" w:hanging="220"/>
        <w:jc w:val="both"/>
      </w:pPr>
      <w:r>
        <w:rPr>
          <w:b/>
          <w:bCs/>
          <w:color w:val="185FA5"/>
        </w:rPr>
        <w:t xml:space="preserve">•  </w:t>
      </w:r>
      <w:r>
        <w:rPr>
          <w:color w:val="000000"/>
        </w:rPr>
        <w:t>Notificación al propietario del buzón afectado, indicando que sus mensajes se encuentran bajo preservación legal y que no deben eliminar ninguna comunicación relacionada con el asunto indicado.</w:t>
      </w:r>
    </w:p>
    <w:p w14:paraId="5D5BAC68" w14:textId="77777777" w:rsidR="00D713D0" w:rsidRDefault="00000000">
      <w:pPr>
        <w:spacing w:after="80" w:line="276" w:lineRule="auto"/>
        <w:ind w:left="440" w:hanging="220"/>
        <w:jc w:val="both"/>
      </w:pPr>
      <w:r>
        <w:rPr>
          <w:b/>
          <w:bCs/>
          <w:color w:val="185FA5"/>
        </w:rPr>
        <w:t xml:space="preserve">•  </w:t>
      </w:r>
      <w:r>
        <w:rPr>
          <w:color w:val="000000"/>
        </w:rPr>
        <w:t>Revisión periódica del estado de la Reserva Legal cada 90 días, o al cierre del proceso que la originó, para confirmar si debe mantenerse o levantarse.</w:t>
      </w:r>
    </w:p>
    <w:p w14:paraId="5D5BAC69" w14:textId="77777777" w:rsidR="00D713D0" w:rsidRDefault="00000000">
      <w:pPr>
        <w:spacing w:after="80" w:line="276" w:lineRule="auto"/>
        <w:ind w:left="440" w:hanging="220"/>
        <w:jc w:val="both"/>
      </w:pPr>
      <w:r>
        <w:rPr>
          <w:b/>
          <w:bCs/>
          <w:color w:val="185FA5"/>
        </w:rPr>
        <w:t xml:space="preserve">•  </w:t>
      </w:r>
      <w:r>
        <w:rPr>
          <w:color w:val="000000"/>
        </w:rPr>
        <w:t xml:space="preserve">Levantamiento formal documentado en el sistema de </w:t>
      </w:r>
      <w:proofErr w:type="gramStart"/>
      <w:r>
        <w:rPr>
          <w:color w:val="000000"/>
        </w:rPr>
        <w:t>tickets</w:t>
      </w:r>
      <w:proofErr w:type="gramEnd"/>
      <w:r>
        <w:rPr>
          <w:color w:val="000000"/>
        </w:rPr>
        <w:t>, con autorización del área legal y fecha efectiva de fin de la preservación.</w:t>
      </w:r>
    </w:p>
    <w:p w14:paraId="5D5BAC6A" w14:textId="77777777" w:rsidR="00D713D0" w:rsidRDefault="00000000">
      <w:pPr>
        <w:pBdr>
          <w:left w:val="single" w:sz="18" w:space="0" w:color="185FA5"/>
        </w:pBdr>
        <w:shd w:val="clear" w:color="auto" w:fill="D6E4F0"/>
        <w:spacing w:before="120" w:after="120" w:line="276" w:lineRule="auto"/>
        <w:ind w:left="360"/>
        <w:jc w:val="both"/>
      </w:pPr>
      <w:r>
        <w:rPr>
          <w:b/>
          <w:bCs/>
          <w:i/>
          <w:iCs/>
          <w:color w:val="185FA5"/>
        </w:rPr>
        <w:t xml:space="preserve">Nota: </w:t>
      </w:r>
      <w:r>
        <w:rPr>
          <w:i/>
          <w:iCs/>
          <w:color w:val="000000"/>
        </w:rPr>
        <w:t>La activación de una Reserva Legal no requiere notificar al usuario el contenido específico del proceso legal que la origina, pero sí debe informársele que sus mensajes se encuentran bajo preservación y que no debe eliminar comunicaciones relacionadas con el asunto en cuestión.</w:t>
      </w:r>
    </w:p>
    <w:p w14:paraId="5D5BAC6B" w14:textId="77777777" w:rsidR="00D713D0" w:rsidRDefault="00000000">
      <w:pPr>
        <w:spacing w:before="160" w:after="80"/>
      </w:pPr>
      <w:r>
        <w:rPr>
          <w:rFonts w:ascii="Calibri" w:eastAsia="Calibri" w:hAnsi="Calibri" w:cs="Calibri"/>
          <w:b/>
          <w:bCs/>
          <w:color w:val="5F5E5A"/>
          <w:sz w:val="22"/>
          <w:szCs w:val="22"/>
        </w:rPr>
        <w:t>7.5. Método de eliminación</w:t>
      </w:r>
    </w:p>
    <w:p w14:paraId="5D5BAC6C" w14:textId="77777777" w:rsidR="00D713D0" w:rsidRDefault="00000000">
      <w:pPr>
        <w:spacing w:after="120" w:line="276" w:lineRule="auto"/>
        <w:jc w:val="both"/>
      </w:pPr>
      <w:r>
        <w:rPr>
          <w:color w:val="000000"/>
        </w:rPr>
        <w:t xml:space="preserve">La eliminación de mensajes al cierre del ciclo de vida debe realizarse mediante borrado seguro, que garantiza que el contenido no sea recuperable mediante herramientas forenses estándar. En entornos de correo en la nube </w:t>
      </w:r>
      <w:r>
        <w:rPr>
          <w:color w:val="000000"/>
        </w:rPr>
        <w:lastRenderedPageBreak/>
        <w:t xml:space="preserve">(Microsoft 365, Google </w:t>
      </w:r>
      <w:proofErr w:type="spellStart"/>
      <w:r>
        <w:rPr>
          <w:color w:val="000000"/>
        </w:rPr>
        <w:t>Workspace</w:t>
      </w:r>
      <w:proofErr w:type="spellEnd"/>
      <w:r>
        <w:rPr>
          <w:color w:val="000000"/>
        </w:rPr>
        <w:t xml:space="preserve">), la eliminación definitiva se produce de forma automática al expirar la política de retención configurada en la plataforma, sin intervención manual del equipo de TI. En entornos </w:t>
      </w:r>
      <w:proofErr w:type="spellStart"/>
      <w:r>
        <w:rPr>
          <w:color w:val="000000"/>
        </w:rPr>
        <w:t>on</w:t>
      </w:r>
      <w:proofErr w:type="spellEnd"/>
      <w:r>
        <w:rPr>
          <w:color w:val="000000"/>
        </w:rPr>
        <w:t>-premise, el proceso de purga debe ejecutarse mediante las herramientas nativas del servidor de correo y debe quedar registrado con fecha, responsable y volumen de mensajes eliminados.</w:t>
      </w:r>
    </w:p>
    <w:p w14:paraId="5D5BAC6D" w14:textId="77777777" w:rsidR="00D713D0" w:rsidRDefault="00000000">
      <w:pPr>
        <w:spacing w:after="120" w:line="276" w:lineRule="auto"/>
        <w:jc w:val="both"/>
      </w:pPr>
      <w:proofErr w:type="gramStart"/>
      <w:r>
        <w:rPr>
          <w:color w:val="000000"/>
        </w:rPr>
        <w:t>Bajo ninguna circunstancia</w:t>
      </w:r>
      <w:proofErr w:type="gramEnd"/>
      <w:r>
        <w:rPr>
          <w:color w:val="000000"/>
        </w:rPr>
        <w:t xml:space="preserve"> se autoriza la eliminación manual y masiva de mensajes por parte de un usuario, aun cuando los períodos de retención hayan expirado. Toda purga masiva debe ser ejecutada por el equipo de TI, con autorización documentada del responsable del área correspondiente.</w:t>
      </w:r>
    </w:p>
    <w:p w14:paraId="5D5BAC6E" w14:textId="77777777" w:rsidR="00D713D0" w:rsidRDefault="00000000">
      <w:pPr>
        <w:spacing w:before="160" w:after="80"/>
      </w:pPr>
      <w:r>
        <w:rPr>
          <w:rFonts w:ascii="Calibri" w:eastAsia="Calibri" w:hAnsi="Calibri" w:cs="Calibri"/>
          <w:b/>
          <w:bCs/>
          <w:color w:val="5F5E5A"/>
          <w:sz w:val="22"/>
          <w:szCs w:val="22"/>
        </w:rPr>
        <w:t>7.6. Herramientas de referencia</w:t>
      </w:r>
    </w:p>
    <w:p w14:paraId="5D5BAC6F" w14:textId="77777777" w:rsidR="00D713D0" w:rsidRDefault="00000000">
      <w:pPr>
        <w:spacing w:after="120" w:line="276" w:lineRule="auto"/>
        <w:jc w:val="both"/>
      </w:pPr>
      <w:r>
        <w:rPr>
          <w:color w:val="000000"/>
        </w:rPr>
        <w:t>Las siguientes referencias documentan los mecanismos nativos de retención disponibles en las principales plataformas:</w:t>
      </w:r>
    </w:p>
    <w:p w14:paraId="5D5BAC70" w14:textId="77777777" w:rsidR="00D713D0" w:rsidRDefault="00D713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13D0" w14:paraId="5D5BAC73"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71" w14:textId="77777777" w:rsidR="00D713D0" w:rsidRDefault="00000000">
            <w:r>
              <w:rPr>
                <w:rFonts w:ascii="Calibri" w:eastAsia="Calibri" w:hAnsi="Calibri" w:cs="Calibri"/>
                <w:b/>
                <w:bCs/>
                <w:color w:val="FFFFFF"/>
                <w:sz w:val="18"/>
                <w:szCs w:val="18"/>
              </w:rPr>
              <w:t>Plataforma</w:t>
            </w:r>
          </w:p>
        </w:tc>
        <w:tc>
          <w:tcPr>
            <w:tcW w:w="65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72" w14:textId="77777777" w:rsidR="00D713D0" w:rsidRDefault="00000000">
            <w:r>
              <w:rPr>
                <w:color w:val="FFFFFF"/>
                <w:sz w:val="18"/>
                <w:szCs w:val="18"/>
              </w:rPr>
              <w:t>Recurso de referencia</w:t>
            </w:r>
          </w:p>
        </w:tc>
      </w:tr>
      <w:tr w:rsidR="00D713D0" w14:paraId="5D5BAC76"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74" w14:textId="77777777" w:rsidR="00D713D0" w:rsidRDefault="00000000">
            <w:r>
              <w:rPr>
                <w:rFonts w:ascii="Calibri" w:eastAsia="Calibri" w:hAnsi="Calibri" w:cs="Calibri"/>
                <w:b/>
                <w:bCs/>
                <w:color w:val="5F5E5A"/>
                <w:sz w:val="18"/>
                <w:szCs w:val="18"/>
              </w:rPr>
              <w:t>Microsoft 365 — Retención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75" w14:textId="77777777" w:rsidR="00D713D0" w:rsidRDefault="00000000">
            <w:r>
              <w:rPr>
                <w:color w:val="000000"/>
                <w:sz w:val="18"/>
                <w:szCs w:val="18"/>
              </w:rPr>
              <w:t>https://learn.microsoft.com/es-es/microsoft-365/compliance/retention</w:t>
            </w:r>
          </w:p>
        </w:tc>
      </w:tr>
      <w:tr w:rsidR="00D713D0" w14:paraId="5D5BAC79"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77" w14:textId="77777777" w:rsidR="00D713D0" w:rsidRDefault="00000000">
            <w:r>
              <w:rPr>
                <w:rFonts w:ascii="Calibri" w:eastAsia="Calibri" w:hAnsi="Calibri" w:cs="Calibri"/>
                <w:b/>
                <w:bCs/>
                <w:color w:val="5F5E5A"/>
                <w:sz w:val="18"/>
                <w:szCs w:val="18"/>
              </w:rPr>
              <w:t xml:space="preserve">Microsoft 365 — </w:t>
            </w:r>
            <w:proofErr w:type="spellStart"/>
            <w:r>
              <w:rPr>
                <w:rFonts w:ascii="Calibri" w:eastAsia="Calibri" w:hAnsi="Calibri" w:cs="Calibri"/>
                <w:b/>
                <w:bCs/>
                <w:color w:val="5F5E5A"/>
                <w:sz w:val="18"/>
                <w:szCs w:val="18"/>
              </w:rPr>
              <w:t>Litigation</w:t>
            </w:r>
            <w:proofErr w:type="spellEnd"/>
            <w:r>
              <w:rPr>
                <w:rFonts w:ascii="Calibri" w:eastAsia="Calibri" w:hAnsi="Calibri" w:cs="Calibri"/>
                <w:b/>
                <w:bCs/>
                <w:color w:val="5F5E5A"/>
                <w:sz w:val="18"/>
                <w:szCs w:val="18"/>
              </w:rPr>
              <w:t xml:space="preserve"> Hold</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78" w14:textId="77777777" w:rsidR="00D713D0" w:rsidRDefault="00000000">
            <w:r>
              <w:rPr>
                <w:color w:val="000000"/>
                <w:sz w:val="18"/>
                <w:szCs w:val="18"/>
              </w:rPr>
              <w:t>https://learn.microsoft.com/es-es/microsoft-365/compliance/create-a-litigation-hold</w:t>
            </w:r>
          </w:p>
        </w:tc>
      </w:tr>
      <w:tr w:rsidR="00D713D0" w14:paraId="5D5BAC7C"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7A" w14:textId="77777777" w:rsidR="00D713D0" w:rsidRDefault="00000000">
            <w:r>
              <w:rPr>
                <w:rFonts w:ascii="Calibri" w:eastAsia="Calibri" w:hAnsi="Calibri" w:cs="Calibri"/>
                <w:b/>
                <w:bCs/>
                <w:color w:val="5F5E5A"/>
                <w:sz w:val="18"/>
                <w:szCs w:val="18"/>
              </w:rPr>
              <w:t xml:space="preserve">Google </w:t>
            </w:r>
            <w:proofErr w:type="spellStart"/>
            <w:r>
              <w:rPr>
                <w:rFonts w:ascii="Calibri" w:eastAsia="Calibri" w:hAnsi="Calibri" w:cs="Calibri"/>
                <w:b/>
                <w:bCs/>
                <w:color w:val="5F5E5A"/>
                <w:sz w:val="18"/>
                <w:szCs w:val="18"/>
              </w:rPr>
              <w:t>Workspace</w:t>
            </w:r>
            <w:proofErr w:type="spellEnd"/>
            <w:r>
              <w:rPr>
                <w:rFonts w:ascii="Calibri" w:eastAsia="Calibri" w:hAnsi="Calibri" w:cs="Calibri"/>
                <w:b/>
                <w:bCs/>
                <w:color w:val="5F5E5A"/>
                <w:sz w:val="18"/>
                <w:szCs w:val="18"/>
              </w:rPr>
              <w:t xml:space="preserve"> — Vault</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7B" w14:textId="77777777" w:rsidR="00D713D0" w:rsidRDefault="00000000">
            <w:r>
              <w:rPr>
                <w:color w:val="000000"/>
                <w:sz w:val="18"/>
                <w:szCs w:val="18"/>
              </w:rPr>
              <w:t>https://support.google.com/vault/answer/2462365</w:t>
            </w:r>
          </w:p>
        </w:tc>
      </w:tr>
      <w:tr w:rsidR="00D713D0" w14:paraId="5D5BAC7F" w14:textId="77777777">
        <w:tblPrEx>
          <w:tblCellMar>
            <w:top w:w="0" w:type="dxa"/>
            <w:bottom w:w="0" w:type="dxa"/>
          </w:tblCellMar>
        </w:tblPrEx>
        <w:tc>
          <w:tcPr>
            <w:tcW w:w="2800" w:type="dxa"/>
            <w:tcBorders>
              <w:top w:val="single" w:sz="6" w:space="0" w:color="D3D1C7"/>
              <w:left w:val="single" w:sz="6" w:space="0" w:color="D3D1C7"/>
              <w:bottom w:val="single" w:sz="6" w:space="0" w:color="D3D1C7"/>
              <w:right w:val="single" w:sz="6" w:space="0" w:color="D3D1C7"/>
            </w:tcBorders>
            <w:shd w:val="clear" w:color="auto" w:fill="F5F5F5"/>
            <w:tcMar>
              <w:top w:w="80" w:type="dxa"/>
              <w:left w:w="120" w:type="dxa"/>
              <w:bottom w:w="80" w:type="dxa"/>
              <w:right w:w="120" w:type="dxa"/>
            </w:tcMar>
          </w:tcPr>
          <w:p w14:paraId="5D5BAC7D" w14:textId="77777777" w:rsidR="00D713D0" w:rsidRDefault="00000000">
            <w:r>
              <w:rPr>
                <w:rFonts w:ascii="Calibri" w:eastAsia="Calibri" w:hAnsi="Calibri" w:cs="Calibri"/>
                <w:b/>
                <w:bCs/>
                <w:color w:val="5F5E5A"/>
                <w:sz w:val="18"/>
                <w:szCs w:val="18"/>
              </w:rPr>
              <w:t xml:space="preserve">Google </w:t>
            </w:r>
            <w:proofErr w:type="spellStart"/>
            <w:r>
              <w:rPr>
                <w:rFonts w:ascii="Calibri" w:eastAsia="Calibri" w:hAnsi="Calibri" w:cs="Calibri"/>
                <w:b/>
                <w:bCs/>
                <w:color w:val="5F5E5A"/>
                <w:sz w:val="18"/>
                <w:szCs w:val="18"/>
              </w:rPr>
              <w:t>Workspace</w:t>
            </w:r>
            <w:proofErr w:type="spellEnd"/>
            <w:r>
              <w:rPr>
                <w:rFonts w:ascii="Calibri" w:eastAsia="Calibri" w:hAnsi="Calibri" w:cs="Calibri"/>
                <w:b/>
                <w:bCs/>
                <w:color w:val="5F5E5A"/>
                <w:sz w:val="18"/>
                <w:szCs w:val="18"/>
              </w:rPr>
              <w:t xml:space="preserve"> — Retención</w:t>
            </w:r>
          </w:p>
        </w:tc>
        <w:tc>
          <w:tcPr>
            <w:tcW w:w="65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7E" w14:textId="77777777" w:rsidR="00D713D0" w:rsidRDefault="00000000">
            <w:r>
              <w:rPr>
                <w:color w:val="000000"/>
                <w:sz w:val="18"/>
                <w:szCs w:val="18"/>
              </w:rPr>
              <w:t>https://support.google.com/vault/answer/2462791</w:t>
            </w:r>
          </w:p>
        </w:tc>
      </w:tr>
    </w:tbl>
    <w:p w14:paraId="5D5BAC80" w14:textId="77777777" w:rsidR="00D713D0" w:rsidRDefault="00D713D0">
      <w:pPr>
        <w:spacing w:after="200"/>
      </w:pPr>
    </w:p>
    <w:p w14:paraId="5D5BAC81"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8. Requisitos Mínimos de Seguridad</w:t>
      </w:r>
    </w:p>
    <w:p w14:paraId="5D5BAC82" w14:textId="77777777" w:rsidR="00D713D0" w:rsidRDefault="00000000">
      <w:pPr>
        <w:spacing w:after="120" w:line="276" w:lineRule="auto"/>
        <w:jc w:val="both"/>
      </w:pPr>
      <w:r>
        <w:rPr>
          <w:color w:val="000000"/>
        </w:rPr>
        <w:t>Todos los usuarios del servicio de correo corporativo deben cumplir los siguientes requisitos de seguridad:</w:t>
      </w:r>
    </w:p>
    <w:p w14:paraId="5D5BAC83" w14:textId="77777777" w:rsidR="00D713D0" w:rsidRDefault="00000000">
      <w:pPr>
        <w:spacing w:after="80" w:line="276" w:lineRule="auto"/>
        <w:ind w:left="440" w:hanging="220"/>
        <w:jc w:val="both"/>
      </w:pPr>
      <w:r>
        <w:rPr>
          <w:b/>
          <w:bCs/>
          <w:color w:val="185FA5"/>
        </w:rPr>
        <w:t xml:space="preserve">•  </w:t>
      </w:r>
      <w:r>
        <w:rPr>
          <w:color w:val="000000"/>
        </w:rPr>
        <w:t xml:space="preserve">Autenticación multifactorial (MFA) habilitada en el buzón. El equipo de TI puede forzar esta configuración a nivel de </w:t>
      </w:r>
      <w:proofErr w:type="spellStart"/>
      <w:r>
        <w:rPr>
          <w:color w:val="000000"/>
        </w:rPr>
        <w:t>tenant</w:t>
      </w:r>
      <w:proofErr w:type="spellEnd"/>
      <w:r>
        <w:rPr>
          <w:color w:val="000000"/>
        </w:rPr>
        <w:t xml:space="preserve"> si el usuario no la activa voluntariamente.</w:t>
      </w:r>
    </w:p>
    <w:p w14:paraId="5D5BAC84" w14:textId="77777777" w:rsidR="00D713D0" w:rsidRDefault="00000000">
      <w:pPr>
        <w:spacing w:after="80" w:line="276" w:lineRule="auto"/>
        <w:ind w:left="440" w:hanging="220"/>
        <w:jc w:val="both"/>
      </w:pPr>
      <w:r>
        <w:rPr>
          <w:b/>
          <w:bCs/>
          <w:color w:val="185FA5"/>
        </w:rPr>
        <w:t xml:space="preserve">•  </w:t>
      </w:r>
      <w:r>
        <w:rPr>
          <w:color w:val="000000"/>
        </w:rPr>
        <w:t>Contraseña del buzón con una longitud mínima de 12 caracteres, combinando mayúsculas, minúsculas, números y caracteres especiales. No debe reutilizarse ninguna de las últimas 10 contraseñas.</w:t>
      </w:r>
    </w:p>
    <w:p w14:paraId="5D5BAC85" w14:textId="77777777" w:rsidR="00D713D0" w:rsidRDefault="00000000">
      <w:pPr>
        <w:spacing w:after="80" w:line="276" w:lineRule="auto"/>
        <w:ind w:left="440" w:hanging="220"/>
        <w:jc w:val="both"/>
      </w:pPr>
      <w:r>
        <w:rPr>
          <w:b/>
          <w:bCs/>
          <w:color w:val="185FA5"/>
        </w:rPr>
        <w:t xml:space="preserve">•  </w:t>
      </w:r>
      <w:r>
        <w:rPr>
          <w:color w:val="000000"/>
        </w:rPr>
        <w:t>Bloqueo de sesión automático en el cliente de correo tras un período máximo de 15 minutos de inactividad.</w:t>
      </w:r>
    </w:p>
    <w:p w14:paraId="5D5BAC86" w14:textId="77777777" w:rsidR="00D713D0" w:rsidRDefault="00000000">
      <w:pPr>
        <w:spacing w:after="80" w:line="276" w:lineRule="auto"/>
        <w:ind w:left="440" w:hanging="220"/>
        <w:jc w:val="both"/>
      </w:pPr>
      <w:r>
        <w:rPr>
          <w:b/>
          <w:bCs/>
          <w:color w:val="185FA5"/>
        </w:rPr>
        <w:t xml:space="preserve">•  </w:t>
      </w:r>
      <w:r>
        <w:rPr>
          <w:color w:val="000000"/>
        </w:rPr>
        <w:t xml:space="preserve">Prohibición de acceder al correo corporativo desde redes </w:t>
      </w:r>
      <w:proofErr w:type="spellStart"/>
      <w:r>
        <w:rPr>
          <w:color w:val="000000"/>
        </w:rPr>
        <w:t>Wi</w:t>
      </w:r>
      <w:proofErr w:type="spellEnd"/>
      <w:r>
        <w:rPr>
          <w:color w:val="000000"/>
        </w:rPr>
        <w:t>-Fi públicas sin utilizar la VPN corporativa.</w:t>
      </w:r>
    </w:p>
    <w:p w14:paraId="5D5BAC87" w14:textId="77777777" w:rsidR="00D713D0" w:rsidRDefault="00000000">
      <w:pPr>
        <w:spacing w:after="80" w:line="276" w:lineRule="auto"/>
        <w:ind w:left="440" w:hanging="220"/>
        <w:jc w:val="both"/>
      </w:pPr>
      <w:r>
        <w:rPr>
          <w:b/>
          <w:bCs/>
          <w:color w:val="185FA5"/>
        </w:rPr>
        <w:t xml:space="preserve">•  </w:t>
      </w:r>
      <w:r>
        <w:rPr>
          <w:color w:val="000000"/>
        </w:rPr>
        <w:t>Notificación inmediata al equipo de TI ante cualquier sospecha de acceso no autorizado al buzón o recepción de mensajes sospechosos.</w:t>
      </w:r>
    </w:p>
    <w:p w14:paraId="5D5BAC88" w14:textId="77777777" w:rsidR="00D713D0" w:rsidRDefault="00000000">
      <w:pPr>
        <w:spacing w:after="80" w:line="276" w:lineRule="auto"/>
        <w:ind w:left="440" w:hanging="220"/>
        <w:jc w:val="both"/>
      </w:pPr>
      <w:r>
        <w:rPr>
          <w:b/>
          <w:bCs/>
          <w:color w:val="185FA5"/>
        </w:rPr>
        <w:t xml:space="preserve">•  </w:t>
      </w:r>
      <w:r>
        <w:rPr>
          <w:color w:val="000000"/>
        </w:rPr>
        <w:t>Los usuarios con buzones ejecutivos o de alto impacto deben utilizar firmas digitales para la firma de comunicaciones de carácter financiero o contractual.</w:t>
      </w:r>
    </w:p>
    <w:p w14:paraId="5D5BAC89"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9. Gestión de Incidentes Relacionados con el Correo</w:t>
      </w:r>
    </w:p>
    <w:p w14:paraId="5D5BAC8A" w14:textId="77777777" w:rsidR="00D713D0" w:rsidRDefault="00000000">
      <w:pPr>
        <w:spacing w:after="120" w:line="276" w:lineRule="auto"/>
        <w:jc w:val="both"/>
      </w:pPr>
      <w:r>
        <w:rPr>
          <w:color w:val="000000"/>
        </w:rPr>
        <w:t>Los siguientes eventos deben ser reportados al equipo de TI de forma inmediata:</w:t>
      </w:r>
    </w:p>
    <w:p w14:paraId="5D5BAC8B" w14:textId="77777777" w:rsidR="00D713D0" w:rsidRDefault="00000000">
      <w:pPr>
        <w:spacing w:after="80" w:line="276" w:lineRule="auto"/>
        <w:ind w:left="440" w:hanging="220"/>
        <w:jc w:val="both"/>
      </w:pPr>
      <w:r>
        <w:rPr>
          <w:b/>
          <w:bCs/>
          <w:color w:val="185FA5"/>
        </w:rPr>
        <w:t xml:space="preserve">•  </w:t>
      </w:r>
      <w:r>
        <w:rPr>
          <w:color w:val="000000"/>
        </w:rPr>
        <w:t>Recepción de mensajes que soliciten transferencias bancarias, cambio de cuentas de pago o entrega de credenciales, especialmente si el remitente es un ejecutivo o proveedor conocido.</w:t>
      </w:r>
    </w:p>
    <w:p w14:paraId="5D5BAC8C" w14:textId="77777777" w:rsidR="00D713D0" w:rsidRDefault="00000000">
      <w:pPr>
        <w:spacing w:after="80" w:line="276" w:lineRule="auto"/>
        <w:ind w:left="440" w:hanging="220"/>
        <w:jc w:val="both"/>
      </w:pPr>
      <w:r>
        <w:rPr>
          <w:b/>
          <w:bCs/>
          <w:color w:val="185FA5"/>
        </w:rPr>
        <w:t xml:space="preserve">•  </w:t>
      </w:r>
      <w:r>
        <w:rPr>
          <w:color w:val="000000"/>
        </w:rPr>
        <w:t>Apertura accidental de un archivo adjunto sospechoso o clic en un enlace de origen desconocido.</w:t>
      </w:r>
    </w:p>
    <w:p w14:paraId="5D5BAC8D" w14:textId="77777777" w:rsidR="00D713D0" w:rsidRDefault="00000000">
      <w:pPr>
        <w:spacing w:after="80" w:line="276" w:lineRule="auto"/>
        <w:ind w:left="440" w:hanging="220"/>
        <w:jc w:val="both"/>
      </w:pPr>
      <w:r>
        <w:rPr>
          <w:b/>
          <w:bCs/>
          <w:color w:val="185FA5"/>
        </w:rPr>
        <w:t xml:space="preserve">•  </w:t>
      </w:r>
      <w:r>
        <w:rPr>
          <w:color w:val="000000"/>
        </w:rPr>
        <w:t>Sospecha de acceso no autorizado al buzón: mensajes enviados que el usuario no reconoce, cambios en la configuración o reglas de reenvío no establecidas por el usuario.</w:t>
      </w:r>
    </w:p>
    <w:p w14:paraId="5D5BAC8E" w14:textId="77777777" w:rsidR="00D713D0" w:rsidRDefault="00000000">
      <w:pPr>
        <w:spacing w:after="80" w:line="276" w:lineRule="auto"/>
        <w:ind w:left="440" w:hanging="220"/>
        <w:jc w:val="both"/>
      </w:pPr>
      <w:r>
        <w:rPr>
          <w:b/>
          <w:bCs/>
          <w:color w:val="185FA5"/>
        </w:rPr>
        <w:t xml:space="preserve">•  </w:t>
      </w:r>
      <w:r>
        <w:rPr>
          <w:color w:val="000000"/>
        </w:rPr>
        <w:t>Recepción de mensajes de devolución (</w:t>
      </w:r>
      <w:proofErr w:type="spellStart"/>
      <w:r>
        <w:rPr>
          <w:color w:val="000000"/>
        </w:rPr>
        <w:t>bounce</w:t>
      </w:r>
      <w:proofErr w:type="spellEnd"/>
      <w:r>
        <w:rPr>
          <w:color w:val="000000"/>
        </w:rPr>
        <w:t>) de correos que el usuario no envió.</w:t>
      </w:r>
    </w:p>
    <w:p w14:paraId="5D5BAC8F" w14:textId="77777777" w:rsidR="00D713D0" w:rsidRDefault="00000000">
      <w:pPr>
        <w:spacing w:after="80" w:line="276" w:lineRule="auto"/>
        <w:ind w:left="440" w:hanging="220"/>
        <w:jc w:val="both"/>
      </w:pPr>
      <w:r>
        <w:rPr>
          <w:b/>
          <w:bCs/>
          <w:color w:val="185FA5"/>
        </w:rPr>
        <w:t xml:space="preserve">•  </w:t>
      </w:r>
      <w:r>
        <w:rPr>
          <w:color w:val="000000"/>
        </w:rPr>
        <w:t>Notificación de que la dirección de correo corporativa ha sido utilizada para enviar spam o mensajes maliciosos a terceros.</w:t>
      </w:r>
    </w:p>
    <w:p w14:paraId="5D5BAC90" w14:textId="77777777" w:rsidR="00D713D0" w:rsidRDefault="00D713D0">
      <w:pPr>
        <w:spacing w:after="120"/>
      </w:pPr>
    </w:p>
    <w:p w14:paraId="5D5BAC91" w14:textId="77777777" w:rsidR="00D713D0" w:rsidRDefault="00000000">
      <w:pPr>
        <w:spacing w:after="120" w:line="276" w:lineRule="auto"/>
        <w:jc w:val="both"/>
      </w:pPr>
      <w:r>
        <w:rPr>
          <w:color w:val="000000"/>
        </w:rPr>
        <w:t>El equipo de TI gestionará cada incidente reportado conforme al proceso de respuesta a incidentes definido en el capítulo Aspectos Generales del libro, preservando la evidencia disponible antes de ejecutar cualquier acción correctiva.</w:t>
      </w:r>
    </w:p>
    <w:p w14:paraId="5D5BAC92"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10. Responsabilidades</w:t>
      </w:r>
    </w:p>
    <w:p w14:paraId="5D5BAC93" w14:textId="77777777" w:rsidR="00D713D0" w:rsidRDefault="00D713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713D0" w14:paraId="5D5BAC96"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94" w14:textId="77777777" w:rsidR="00D713D0" w:rsidRDefault="00000000">
            <w:r>
              <w:rPr>
                <w:rFonts w:ascii="Calibri" w:eastAsia="Calibri" w:hAnsi="Calibri" w:cs="Calibri"/>
                <w:b/>
                <w:bCs/>
                <w:color w:val="FFFFFF"/>
                <w:sz w:val="18"/>
                <w:szCs w:val="18"/>
              </w:rPr>
              <w:t>Rol</w:t>
            </w:r>
          </w:p>
        </w:tc>
        <w:tc>
          <w:tcPr>
            <w:tcW w:w="63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95" w14:textId="77777777" w:rsidR="00D713D0" w:rsidRDefault="00000000">
            <w:r>
              <w:rPr>
                <w:rFonts w:ascii="Calibri" w:eastAsia="Calibri" w:hAnsi="Calibri" w:cs="Calibri"/>
                <w:b/>
                <w:bCs/>
                <w:color w:val="FFFFFF"/>
                <w:sz w:val="18"/>
                <w:szCs w:val="18"/>
              </w:rPr>
              <w:t>Responsabilidad principal</w:t>
            </w:r>
          </w:p>
        </w:tc>
      </w:tr>
      <w:tr w:rsidR="00D713D0" w14:paraId="5D5BAC99"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97" w14:textId="77777777" w:rsidR="00D713D0" w:rsidRDefault="00000000">
            <w:r>
              <w:rPr>
                <w:color w:val="000000"/>
                <w:sz w:val="18"/>
                <w:szCs w:val="18"/>
              </w:rPr>
              <w:t>Gerencia General</w:t>
            </w:r>
          </w:p>
        </w:tc>
        <w:tc>
          <w:tcPr>
            <w:tcW w:w="63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98" w14:textId="77777777" w:rsidR="00D713D0" w:rsidRDefault="00000000">
            <w:r>
              <w:rPr>
                <w:color w:val="000000"/>
                <w:sz w:val="18"/>
                <w:szCs w:val="18"/>
              </w:rPr>
              <w:t>Aprobar esta política y garantizar los recursos para su implementación y revisión periódica.</w:t>
            </w:r>
          </w:p>
        </w:tc>
      </w:tr>
      <w:tr w:rsidR="00D713D0" w14:paraId="5D5BAC9C"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9A" w14:textId="77777777" w:rsidR="00D713D0" w:rsidRDefault="00000000">
            <w:r>
              <w:rPr>
                <w:color w:val="000000"/>
                <w:sz w:val="18"/>
                <w:szCs w:val="18"/>
              </w:rPr>
              <w:t>Responsable de TI</w:t>
            </w:r>
          </w:p>
        </w:tc>
        <w:tc>
          <w:tcPr>
            <w:tcW w:w="63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9B" w14:textId="77777777" w:rsidR="00D713D0" w:rsidRDefault="00000000">
            <w:r>
              <w:rPr>
                <w:color w:val="000000"/>
                <w:sz w:val="18"/>
                <w:szCs w:val="18"/>
              </w:rPr>
              <w:t>Administrar el servicio, aplicar los controles técnicos, gestionar el ciclo de vida de buzones y responder ante incidentes.</w:t>
            </w:r>
          </w:p>
        </w:tc>
      </w:tr>
      <w:tr w:rsidR="00D713D0" w14:paraId="5D5BAC9F"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9D" w14:textId="77777777" w:rsidR="00D713D0" w:rsidRDefault="00000000">
            <w:r>
              <w:rPr>
                <w:color w:val="000000"/>
                <w:sz w:val="18"/>
                <w:szCs w:val="18"/>
              </w:rPr>
              <w:t>Responsable de cada área</w:t>
            </w:r>
          </w:p>
        </w:tc>
        <w:tc>
          <w:tcPr>
            <w:tcW w:w="63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9E" w14:textId="77777777" w:rsidR="00D713D0" w:rsidRDefault="00000000">
            <w:r>
              <w:rPr>
                <w:color w:val="000000"/>
                <w:sz w:val="18"/>
                <w:szCs w:val="18"/>
              </w:rPr>
              <w:t>Solicitar formalmente la creación y desactivación de buzones de su área, y designar el propietario de los buzones compartidos.</w:t>
            </w:r>
          </w:p>
        </w:tc>
      </w:tr>
      <w:tr w:rsidR="00D713D0" w14:paraId="5D5BACA2" w14:textId="77777777">
        <w:tblPrEx>
          <w:tblCellMar>
            <w:top w:w="0" w:type="dxa"/>
            <w:bottom w:w="0" w:type="dxa"/>
          </w:tblCellMar>
        </w:tblPrEx>
        <w:tc>
          <w:tcPr>
            <w:tcW w:w="3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A0" w14:textId="77777777" w:rsidR="00D713D0" w:rsidRDefault="00000000">
            <w:r>
              <w:rPr>
                <w:color w:val="000000"/>
                <w:sz w:val="18"/>
                <w:szCs w:val="18"/>
              </w:rPr>
              <w:t>Todos los usuarios</w:t>
            </w:r>
          </w:p>
        </w:tc>
        <w:tc>
          <w:tcPr>
            <w:tcW w:w="63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A1" w14:textId="77777777" w:rsidR="00D713D0" w:rsidRDefault="00000000">
            <w:r>
              <w:rPr>
                <w:color w:val="000000"/>
                <w:sz w:val="18"/>
                <w:szCs w:val="18"/>
              </w:rPr>
              <w:t>Cumplir los requisitos de uso aceptable y seguridad, y reportar cualquier anomalía al equipo de TI de forma inmediata.</w:t>
            </w:r>
          </w:p>
        </w:tc>
      </w:tr>
    </w:tbl>
    <w:p w14:paraId="5D5BACA3" w14:textId="77777777" w:rsidR="00D713D0" w:rsidRDefault="00D713D0">
      <w:pPr>
        <w:spacing w:after="240"/>
      </w:pPr>
    </w:p>
    <w:p w14:paraId="5D5BACA4"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11. Cumplimiento y Revisión</w:t>
      </w:r>
    </w:p>
    <w:p w14:paraId="5D5BACA5" w14:textId="77777777" w:rsidR="00D713D0" w:rsidRDefault="00000000">
      <w:pPr>
        <w:spacing w:after="120" w:line="276" w:lineRule="auto"/>
        <w:jc w:val="both"/>
      </w:pPr>
      <w:r>
        <w:rPr>
          <w:color w:val="000000"/>
        </w:rPr>
        <w:t>Esta política es de cumplimiento obligatorio para todos los colaboradores y terceros que utilicen el servicio de correo corporativo. El incumplimiento puede derivar en medidas disciplinarias de acuerdo con el reglamento interno de trabajo de la organización, y en los casos más graves, en acciones legales.</w:t>
      </w:r>
    </w:p>
    <w:p w14:paraId="5D5BACA6" w14:textId="77777777" w:rsidR="00D713D0" w:rsidRDefault="00000000">
      <w:pPr>
        <w:spacing w:after="120" w:line="276" w:lineRule="auto"/>
        <w:jc w:val="both"/>
      </w:pPr>
      <w:r>
        <w:rPr>
          <w:color w:val="000000"/>
        </w:rPr>
        <w:t>Esta política debe ser revisada y actualizada al menos una vez al año, o de forma inmediata ante cambios significativos en la plataforma de correo, la estructura del equipo de TI, el marco regulatorio aplicable o la materialización de un incidente de seguridad relacionado con el servicio. La versión vigente debe estar disponible para todos los colaboradores.</w:t>
      </w:r>
    </w:p>
    <w:p w14:paraId="5D5BACA7" w14:textId="77777777" w:rsidR="00D713D0" w:rsidRDefault="00D713D0">
      <w:pPr>
        <w:spacing w:after="240"/>
      </w:pPr>
    </w:p>
    <w:p w14:paraId="5D5BACA8" w14:textId="77777777" w:rsidR="00D713D0" w:rsidRDefault="00000000">
      <w:pPr>
        <w:pBdr>
          <w:bottom w:val="single" w:sz="12" w:space="0" w:color="185FA5"/>
        </w:pBdr>
        <w:spacing w:before="240" w:after="120"/>
      </w:pPr>
      <w:r>
        <w:rPr>
          <w:rFonts w:ascii="Calibri" w:eastAsia="Calibri" w:hAnsi="Calibri" w:cs="Calibri"/>
          <w:b/>
          <w:bCs/>
          <w:color w:val="185FA5"/>
          <w:sz w:val="24"/>
          <w:szCs w:val="24"/>
        </w:rPr>
        <w:t>12. Historial de Revisiones</w:t>
      </w:r>
    </w:p>
    <w:p w14:paraId="5D5BACA9" w14:textId="77777777" w:rsidR="00D713D0" w:rsidRDefault="00D713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160"/>
        <w:gridCol w:w="3000"/>
      </w:tblGrid>
      <w:tr w:rsidR="00D713D0" w14:paraId="5D5BACAE" w14:textId="77777777">
        <w:tblPrEx>
          <w:tblCellMar>
            <w:top w:w="0" w:type="dxa"/>
            <w:bottom w:w="0" w:type="dxa"/>
          </w:tblCellMar>
        </w:tblPrEx>
        <w:tc>
          <w:tcPr>
            <w:tcW w:w="14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AA" w14:textId="77777777" w:rsidR="00D713D0" w:rsidRDefault="00000000">
            <w:r>
              <w:rPr>
                <w:rFonts w:ascii="Calibri" w:eastAsia="Calibri" w:hAnsi="Calibri" w:cs="Calibri"/>
                <w:b/>
                <w:bCs/>
                <w:color w:val="FFFFFF"/>
                <w:sz w:val="18"/>
                <w:szCs w:val="18"/>
              </w:rPr>
              <w:t>Versión</w:t>
            </w:r>
          </w:p>
        </w:tc>
        <w:tc>
          <w:tcPr>
            <w:tcW w:w="18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AB" w14:textId="77777777" w:rsidR="00D713D0" w:rsidRDefault="00000000">
            <w:r>
              <w:rPr>
                <w:rFonts w:ascii="Calibri" w:eastAsia="Calibri" w:hAnsi="Calibri" w:cs="Calibri"/>
                <w:b/>
                <w:bCs/>
                <w:color w:val="FFFFFF"/>
                <w:sz w:val="18"/>
                <w:szCs w:val="18"/>
              </w:rPr>
              <w:t>Fecha</w:t>
            </w:r>
          </w:p>
        </w:tc>
        <w:tc>
          <w:tcPr>
            <w:tcW w:w="316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AC" w14:textId="77777777" w:rsidR="00D713D0" w:rsidRDefault="00000000">
            <w:r>
              <w:rPr>
                <w:rFonts w:ascii="Calibri" w:eastAsia="Calibri" w:hAnsi="Calibri" w:cs="Calibri"/>
                <w:b/>
                <w:bCs/>
                <w:color w:val="FFFFFF"/>
                <w:sz w:val="18"/>
                <w:szCs w:val="18"/>
              </w:rPr>
              <w:t>Descripción del cambio</w:t>
            </w:r>
          </w:p>
        </w:tc>
        <w:tc>
          <w:tcPr>
            <w:tcW w:w="3000" w:type="dxa"/>
            <w:tcBorders>
              <w:top w:val="single" w:sz="6" w:space="0" w:color="D3D1C7"/>
              <w:left w:val="single" w:sz="6" w:space="0" w:color="D3D1C7"/>
              <w:bottom w:val="single" w:sz="6" w:space="0" w:color="D3D1C7"/>
              <w:right w:val="single" w:sz="6" w:space="0" w:color="D3D1C7"/>
            </w:tcBorders>
            <w:shd w:val="clear" w:color="auto" w:fill="185FA5"/>
            <w:tcMar>
              <w:top w:w="80" w:type="dxa"/>
              <w:left w:w="120" w:type="dxa"/>
              <w:bottom w:w="80" w:type="dxa"/>
              <w:right w:w="120" w:type="dxa"/>
            </w:tcMar>
          </w:tcPr>
          <w:p w14:paraId="5D5BACAD" w14:textId="77777777" w:rsidR="00D713D0" w:rsidRDefault="00000000">
            <w:r>
              <w:rPr>
                <w:rFonts w:ascii="Calibri" w:eastAsia="Calibri" w:hAnsi="Calibri" w:cs="Calibri"/>
                <w:b/>
                <w:bCs/>
                <w:color w:val="FFFFFF"/>
                <w:sz w:val="18"/>
                <w:szCs w:val="18"/>
              </w:rPr>
              <w:t>Aprobado por</w:t>
            </w:r>
          </w:p>
        </w:tc>
      </w:tr>
      <w:tr w:rsidR="00D713D0" w14:paraId="5D5BACB3" w14:textId="77777777">
        <w:tblPrEx>
          <w:tblCellMar>
            <w:top w:w="0" w:type="dxa"/>
            <w:bottom w:w="0" w:type="dxa"/>
          </w:tblCellMar>
        </w:tblPrEx>
        <w:tc>
          <w:tcPr>
            <w:tcW w:w="14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AF" w14:textId="77777777" w:rsidR="00D713D0" w:rsidRDefault="00000000">
            <w:r>
              <w:rPr>
                <w:color w:val="000000"/>
                <w:sz w:val="18"/>
                <w:szCs w:val="18"/>
              </w:rPr>
              <w:t>1.0</w:t>
            </w:r>
          </w:p>
        </w:tc>
        <w:tc>
          <w:tcPr>
            <w:tcW w:w="18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B0" w14:textId="77777777" w:rsidR="00D713D0" w:rsidRDefault="00000000">
            <w:r>
              <w:rPr>
                <w:color w:val="000000"/>
                <w:sz w:val="18"/>
                <w:szCs w:val="18"/>
              </w:rPr>
              <w:t>[DD/MM/AAAA]</w:t>
            </w:r>
          </w:p>
        </w:tc>
        <w:tc>
          <w:tcPr>
            <w:tcW w:w="316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B1" w14:textId="77777777" w:rsidR="00D713D0" w:rsidRDefault="00000000">
            <w:r>
              <w:rPr>
                <w:color w:val="000000"/>
                <w:sz w:val="18"/>
                <w:szCs w:val="18"/>
              </w:rPr>
              <w:t>Versión inicial</w:t>
            </w:r>
          </w:p>
        </w:tc>
        <w:tc>
          <w:tcPr>
            <w:tcW w:w="3000" w:type="dxa"/>
            <w:tcBorders>
              <w:top w:val="single" w:sz="6" w:space="0" w:color="D3D1C7"/>
              <w:left w:val="single" w:sz="6" w:space="0" w:color="D3D1C7"/>
              <w:bottom w:val="single" w:sz="6" w:space="0" w:color="D3D1C7"/>
              <w:right w:val="single" w:sz="6" w:space="0" w:color="D3D1C7"/>
            </w:tcBorders>
            <w:shd w:val="clear" w:color="auto" w:fill="FFFFFF"/>
            <w:tcMar>
              <w:top w:w="80" w:type="dxa"/>
              <w:left w:w="120" w:type="dxa"/>
              <w:bottom w:w="80" w:type="dxa"/>
              <w:right w:w="120" w:type="dxa"/>
            </w:tcMar>
          </w:tcPr>
          <w:p w14:paraId="5D5BACB2" w14:textId="77777777" w:rsidR="00D713D0" w:rsidRDefault="00000000">
            <w:r>
              <w:rPr>
                <w:color w:val="000000"/>
                <w:sz w:val="18"/>
                <w:szCs w:val="18"/>
              </w:rPr>
              <w:t>[Nombre]</w:t>
            </w:r>
          </w:p>
        </w:tc>
      </w:tr>
      <w:tr w:rsidR="00D713D0" w14:paraId="5D5BACB8" w14:textId="77777777">
        <w:tblPrEx>
          <w:tblCellMar>
            <w:top w:w="0" w:type="dxa"/>
            <w:bottom w:w="0" w:type="dxa"/>
          </w:tblCellMar>
        </w:tblPrEx>
        <w:tc>
          <w:tcPr>
            <w:tcW w:w="14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B4" w14:textId="77777777" w:rsidR="00D713D0" w:rsidRDefault="00D713D0"/>
        </w:tc>
        <w:tc>
          <w:tcPr>
            <w:tcW w:w="18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B5" w14:textId="77777777" w:rsidR="00D713D0" w:rsidRDefault="00D713D0"/>
        </w:tc>
        <w:tc>
          <w:tcPr>
            <w:tcW w:w="316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B6" w14:textId="77777777" w:rsidR="00D713D0" w:rsidRDefault="00D713D0"/>
        </w:tc>
        <w:tc>
          <w:tcPr>
            <w:tcW w:w="3000" w:type="dxa"/>
            <w:tcBorders>
              <w:top w:val="single" w:sz="6" w:space="0" w:color="D3D1C7"/>
              <w:left w:val="single" w:sz="6" w:space="0" w:color="D3D1C7"/>
              <w:bottom w:val="single" w:sz="6" w:space="0" w:color="D3D1C7"/>
              <w:right w:val="single" w:sz="6" w:space="0" w:color="D3D1C7"/>
            </w:tcBorders>
            <w:shd w:val="clear" w:color="auto" w:fill="D6E4F0"/>
            <w:tcMar>
              <w:top w:w="80" w:type="dxa"/>
              <w:left w:w="120" w:type="dxa"/>
              <w:bottom w:w="80" w:type="dxa"/>
              <w:right w:w="120" w:type="dxa"/>
            </w:tcMar>
          </w:tcPr>
          <w:p w14:paraId="5D5BACB7" w14:textId="77777777" w:rsidR="00D713D0" w:rsidRDefault="00D713D0"/>
        </w:tc>
      </w:tr>
    </w:tbl>
    <w:p w14:paraId="5D5BACB9" w14:textId="77777777" w:rsidR="00D713D0" w:rsidRDefault="00D713D0">
      <w:pP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13D0" w14:paraId="5D5BACC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5BACBA" w14:textId="77777777" w:rsidR="00D713D0" w:rsidRDefault="00000000">
            <w:pPr>
              <w:pBdr>
                <w:top w:val="single" w:sz="6" w:space="0" w:color="185FA5"/>
              </w:pBdr>
              <w:spacing w:before="480"/>
            </w:pPr>
            <w:r>
              <w:rPr>
                <w:rFonts w:ascii="Calibri" w:eastAsia="Calibri" w:hAnsi="Calibri" w:cs="Calibri"/>
                <w:b/>
                <w:bCs/>
                <w:color w:val="185FA5"/>
                <w:sz w:val="18"/>
                <w:szCs w:val="18"/>
              </w:rPr>
              <w:t>Elaborado por</w:t>
            </w:r>
          </w:p>
          <w:p w14:paraId="5D5BACBB" w14:textId="77777777" w:rsidR="00D713D0" w:rsidRDefault="00000000">
            <w:r>
              <w:rPr>
                <w:color w:val="5F5E5A"/>
                <w:sz w:val="18"/>
                <w:szCs w:val="18"/>
              </w:rPr>
              <w:t>[Nombre]</w:t>
            </w:r>
          </w:p>
          <w:p w14:paraId="5D5BACBC" w14:textId="77777777" w:rsidR="00D713D0" w:rsidRDefault="00000000">
            <w:r>
              <w:rPr>
                <w:color w:val="5F5E5A"/>
                <w:sz w:val="18"/>
                <w:szCs w:val="18"/>
              </w:rPr>
              <w:t>[Cargo]</w:t>
            </w:r>
          </w:p>
          <w:p w14:paraId="5D5BACBD" w14:textId="77777777" w:rsidR="00D713D0" w:rsidRDefault="00000000">
            <w:r>
              <w:rPr>
                <w:color w:val="5F5E5A"/>
                <w:sz w:val="18"/>
                <w:szCs w:val="18"/>
              </w:rPr>
              <w:t>[Fecha]</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5BACBE" w14:textId="77777777" w:rsidR="00D713D0" w:rsidRDefault="00000000">
            <w:pPr>
              <w:pBdr>
                <w:top w:val="single" w:sz="6" w:space="0" w:color="185FA5"/>
              </w:pBdr>
              <w:spacing w:before="480"/>
            </w:pPr>
            <w:r>
              <w:rPr>
                <w:rFonts w:ascii="Calibri" w:eastAsia="Calibri" w:hAnsi="Calibri" w:cs="Calibri"/>
                <w:b/>
                <w:bCs/>
                <w:color w:val="185FA5"/>
                <w:sz w:val="18"/>
                <w:szCs w:val="18"/>
              </w:rPr>
              <w:t>Revisado por</w:t>
            </w:r>
          </w:p>
          <w:p w14:paraId="5D5BACBF" w14:textId="77777777" w:rsidR="00D713D0" w:rsidRDefault="00000000">
            <w:r>
              <w:rPr>
                <w:color w:val="5F5E5A"/>
                <w:sz w:val="18"/>
                <w:szCs w:val="18"/>
              </w:rPr>
              <w:t>[Nombre]</w:t>
            </w:r>
          </w:p>
          <w:p w14:paraId="5D5BACC0" w14:textId="77777777" w:rsidR="00D713D0" w:rsidRDefault="00000000">
            <w:r>
              <w:rPr>
                <w:color w:val="5F5E5A"/>
                <w:sz w:val="18"/>
                <w:szCs w:val="18"/>
              </w:rPr>
              <w:t>[Cargo]</w:t>
            </w:r>
          </w:p>
          <w:p w14:paraId="5D5BACC1" w14:textId="77777777" w:rsidR="00D713D0" w:rsidRDefault="00000000">
            <w:r>
              <w:rPr>
                <w:color w:val="5F5E5A"/>
                <w:sz w:val="18"/>
                <w:szCs w:val="18"/>
              </w:rPr>
              <w:t>[Fecha]</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5BACC2" w14:textId="77777777" w:rsidR="00D713D0" w:rsidRDefault="00000000">
            <w:pPr>
              <w:pBdr>
                <w:top w:val="single" w:sz="6" w:space="0" w:color="185FA5"/>
              </w:pBdr>
              <w:spacing w:before="480"/>
            </w:pPr>
            <w:r>
              <w:rPr>
                <w:rFonts w:ascii="Calibri" w:eastAsia="Calibri" w:hAnsi="Calibri" w:cs="Calibri"/>
                <w:b/>
                <w:bCs/>
                <w:color w:val="185FA5"/>
                <w:sz w:val="18"/>
                <w:szCs w:val="18"/>
              </w:rPr>
              <w:t>Aprobado por</w:t>
            </w:r>
          </w:p>
          <w:p w14:paraId="5D5BACC3" w14:textId="77777777" w:rsidR="00D713D0" w:rsidRDefault="00000000">
            <w:r>
              <w:rPr>
                <w:color w:val="5F5E5A"/>
                <w:sz w:val="18"/>
                <w:szCs w:val="18"/>
              </w:rPr>
              <w:t>[Nombre]</w:t>
            </w:r>
          </w:p>
          <w:p w14:paraId="5D5BACC4" w14:textId="77777777" w:rsidR="00D713D0" w:rsidRDefault="00000000">
            <w:r>
              <w:rPr>
                <w:color w:val="5F5E5A"/>
                <w:sz w:val="18"/>
                <w:szCs w:val="18"/>
              </w:rPr>
              <w:t>[Cargo]</w:t>
            </w:r>
          </w:p>
          <w:p w14:paraId="5D5BACC5" w14:textId="77777777" w:rsidR="00D713D0" w:rsidRDefault="00000000">
            <w:r>
              <w:rPr>
                <w:color w:val="5F5E5A"/>
                <w:sz w:val="18"/>
                <w:szCs w:val="18"/>
              </w:rPr>
              <w:t>[Fecha]</w:t>
            </w:r>
          </w:p>
        </w:tc>
      </w:tr>
    </w:tbl>
    <w:p w14:paraId="5D5BACC7" w14:textId="77777777" w:rsidR="00351F92" w:rsidRDefault="00351F92"/>
    <w:sectPr w:rsidR="00351F92">
      <w:headerReference w:type="default" r:id="rId7"/>
      <w:footerReference w:type="default" r:id="rId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E939" w14:textId="77777777" w:rsidR="00351F92" w:rsidRDefault="00351F92">
      <w:r>
        <w:separator/>
      </w:r>
    </w:p>
  </w:endnote>
  <w:endnote w:type="continuationSeparator" w:id="0">
    <w:p w14:paraId="2D35BC78" w14:textId="77777777" w:rsidR="00351F92" w:rsidRDefault="00351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2" w:type="dxa"/>
      <w:tblBorders>
        <w:top w:val="single" w:sz="8" w:space="0" w:color="185FA5"/>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972"/>
    </w:tblGrid>
    <w:tr w:rsidR="00D713D0" w14:paraId="5D5BACCC"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5D5BACCA" w14:textId="77777777" w:rsidR="00D713D0" w:rsidRDefault="00000000">
          <w:r>
            <w:rPr>
              <w:rFonts w:ascii="Calibri" w:eastAsia="Calibri" w:hAnsi="Calibri" w:cs="Calibri"/>
              <w:color w:val="5F5E5A"/>
              <w:sz w:val="16"/>
              <w:szCs w:val="16"/>
            </w:rPr>
            <w:t xml:space="preserve">© Mauricio Vergara </w:t>
          </w:r>
          <w:proofErr w:type="gramStart"/>
          <w:r>
            <w:rPr>
              <w:rFonts w:ascii="Calibri" w:eastAsia="Calibri" w:hAnsi="Calibri" w:cs="Calibri"/>
              <w:color w:val="5F5E5A"/>
              <w:sz w:val="16"/>
              <w:szCs w:val="16"/>
            </w:rPr>
            <w:t>Manjarrés  ·</w:t>
          </w:r>
          <w:proofErr w:type="gramEnd"/>
          <w:r>
            <w:rPr>
              <w:rFonts w:ascii="Calibri" w:eastAsia="Calibri" w:hAnsi="Calibri" w:cs="Calibri"/>
              <w:color w:val="5F5E5A"/>
              <w:sz w:val="16"/>
              <w:szCs w:val="16"/>
            </w:rPr>
            <w:t xml:space="preserve">  Versión </w:t>
          </w:r>
          <w:proofErr w:type="gramStart"/>
          <w:r>
            <w:rPr>
              <w:rFonts w:ascii="Calibri" w:eastAsia="Calibri" w:hAnsi="Calibri" w:cs="Calibri"/>
              <w:color w:val="5F5E5A"/>
              <w:sz w:val="16"/>
              <w:szCs w:val="16"/>
            </w:rPr>
            <w:t>1.0  ·</w:t>
          </w:r>
          <w:proofErr w:type="gramEnd"/>
          <w:r>
            <w:rPr>
              <w:rFonts w:ascii="Calibri" w:eastAsia="Calibri" w:hAnsi="Calibri" w:cs="Calibri"/>
              <w:color w:val="5F5E5A"/>
              <w:sz w:val="16"/>
              <w:szCs w:val="16"/>
            </w:rPr>
            <w:t xml:space="preserve">  Plantilla 6.1</w:t>
          </w:r>
        </w:p>
      </w:tc>
      <w:tc>
        <w:tcPr>
          <w:tcW w:w="4972" w:type="dxa"/>
          <w:tcBorders>
            <w:top w:val="none" w:sz="0" w:space="0" w:color="FFFFFF"/>
            <w:left w:val="none" w:sz="0" w:space="0" w:color="FFFFFF"/>
            <w:bottom w:val="none" w:sz="0" w:space="0" w:color="FFFFFF"/>
            <w:right w:val="none" w:sz="0" w:space="0" w:color="FFFFFF"/>
          </w:tcBorders>
        </w:tcPr>
        <w:p w14:paraId="5D5BACCB" w14:textId="2C13A469" w:rsidR="00D713D0" w:rsidRDefault="00000000">
          <w:pPr>
            <w:jc w:val="right"/>
          </w:pPr>
          <w:r>
            <w:rPr>
              <w:rFonts w:ascii="Calibri" w:eastAsia="Calibri" w:hAnsi="Calibri" w:cs="Calibri"/>
              <w:color w:val="5F5E5A"/>
              <w:sz w:val="16"/>
              <w:szCs w:val="16"/>
            </w:rPr>
            <w:t xml:space="preserve">Página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PAGE</w:instrText>
          </w:r>
          <w:r>
            <w:rPr>
              <w:rFonts w:ascii="Calibri" w:eastAsia="Calibri" w:hAnsi="Calibri" w:cs="Calibri"/>
              <w:color w:val="5F5E5A"/>
              <w:sz w:val="16"/>
              <w:szCs w:val="16"/>
            </w:rPr>
            <w:fldChar w:fldCharType="separate"/>
          </w:r>
          <w:r w:rsidR="002F6BD1">
            <w:rPr>
              <w:rFonts w:ascii="Calibri" w:eastAsia="Calibri" w:hAnsi="Calibri" w:cs="Calibri"/>
              <w:noProof/>
              <w:color w:val="5F5E5A"/>
              <w:sz w:val="16"/>
              <w:szCs w:val="16"/>
            </w:rPr>
            <w:t>1</w:t>
          </w:r>
          <w:r>
            <w:rPr>
              <w:rFonts w:ascii="Calibri" w:eastAsia="Calibri" w:hAnsi="Calibri" w:cs="Calibri"/>
              <w:color w:val="5F5E5A"/>
              <w:sz w:val="16"/>
              <w:szCs w:val="16"/>
            </w:rPr>
            <w:fldChar w:fldCharType="end"/>
          </w:r>
          <w:r>
            <w:rPr>
              <w:rFonts w:ascii="Calibri" w:eastAsia="Calibri" w:hAnsi="Calibri" w:cs="Calibri"/>
              <w:color w:val="5F5E5A"/>
              <w:sz w:val="16"/>
              <w:szCs w:val="16"/>
            </w:rPr>
            <w:t xml:space="preserve"> de </w:t>
          </w:r>
          <w:r>
            <w:rPr>
              <w:rFonts w:ascii="Calibri" w:eastAsia="Calibri" w:hAnsi="Calibri" w:cs="Calibri"/>
              <w:color w:val="5F5E5A"/>
              <w:sz w:val="16"/>
              <w:szCs w:val="16"/>
            </w:rPr>
            <w:fldChar w:fldCharType="begin"/>
          </w:r>
          <w:r>
            <w:rPr>
              <w:rFonts w:ascii="Calibri" w:eastAsia="Calibri" w:hAnsi="Calibri" w:cs="Calibri"/>
              <w:color w:val="5F5E5A"/>
              <w:sz w:val="16"/>
              <w:szCs w:val="16"/>
            </w:rPr>
            <w:instrText>NUMPAGES</w:instrText>
          </w:r>
          <w:r>
            <w:rPr>
              <w:rFonts w:ascii="Calibri" w:eastAsia="Calibri" w:hAnsi="Calibri" w:cs="Calibri"/>
              <w:color w:val="5F5E5A"/>
              <w:sz w:val="16"/>
              <w:szCs w:val="16"/>
            </w:rPr>
            <w:fldChar w:fldCharType="separate"/>
          </w:r>
          <w:r w:rsidR="002F6BD1">
            <w:rPr>
              <w:rFonts w:ascii="Calibri" w:eastAsia="Calibri" w:hAnsi="Calibri" w:cs="Calibri"/>
              <w:noProof/>
              <w:color w:val="5F5E5A"/>
              <w:sz w:val="16"/>
              <w:szCs w:val="16"/>
            </w:rPr>
            <w:t>2</w:t>
          </w:r>
          <w:r>
            <w:rPr>
              <w:rFonts w:ascii="Calibri" w:eastAsia="Calibri" w:hAnsi="Calibri" w:cs="Calibri"/>
              <w:color w:val="5F5E5A"/>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042D" w14:textId="77777777" w:rsidR="00351F92" w:rsidRDefault="00351F92">
      <w:r>
        <w:separator/>
      </w:r>
    </w:p>
  </w:footnote>
  <w:footnote w:type="continuationSeparator" w:id="0">
    <w:p w14:paraId="385055DB" w14:textId="77777777" w:rsidR="00351F92" w:rsidRDefault="00351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2" w:type="dxa"/>
      <w:tblBorders>
        <w:top w:val="none" w:sz="0" w:space="0" w:color="FFFFFF"/>
        <w:left w:val="none" w:sz="0" w:space="0" w:color="FFFFFF"/>
        <w:bottom w:val="single" w:sz="12" w:space="0" w:color="185FA5"/>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3472"/>
    </w:tblGrid>
    <w:tr w:rsidR="00D713D0" w14:paraId="5D5BACC9"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5D5BACC7" w14:textId="77777777" w:rsidR="00D713D0" w:rsidRDefault="00000000">
          <w:r>
            <w:rPr>
              <w:rFonts w:ascii="Calibri" w:eastAsia="Calibri" w:hAnsi="Calibri" w:cs="Calibri"/>
              <w:b/>
              <w:bCs/>
              <w:color w:val="185FA5"/>
              <w:sz w:val="18"/>
              <w:szCs w:val="18"/>
            </w:rPr>
            <w:t>Ciberprotección para PyMES</w:t>
          </w:r>
        </w:p>
      </w:tc>
      <w:tc>
        <w:tcPr>
          <w:tcW w:w="3472" w:type="dxa"/>
          <w:tcBorders>
            <w:top w:val="none" w:sz="0" w:space="0" w:color="FFFFFF"/>
            <w:left w:val="none" w:sz="0" w:space="0" w:color="FFFFFF"/>
            <w:bottom w:val="none" w:sz="0" w:space="0" w:color="FFFFFF"/>
            <w:right w:val="none" w:sz="0" w:space="0" w:color="FFFFFF"/>
          </w:tcBorders>
        </w:tcPr>
        <w:p w14:paraId="5D5BACC8" w14:textId="77777777" w:rsidR="00D713D0" w:rsidRDefault="00000000">
          <w:pPr>
            <w:jc w:val="right"/>
          </w:pPr>
          <w:r>
            <w:rPr>
              <w:rFonts w:ascii="Calibri" w:eastAsia="Calibri" w:hAnsi="Calibri" w:cs="Calibri"/>
              <w:color w:val="5F5E5A"/>
              <w:sz w:val="18"/>
              <w:szCs w:val="18"/>
            </w:rPr>
            <w:t>Política de Gestión del Correo Electrónico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448F"/>
    <w:multiLevelType w:val="hybridMultilevel"/>
    <w:tmpl w:val="D442A354"/>
    <w:lvl w:ilvl="0" w:tplc="4240E454">
      <w:start w:val="1"/>
      <w:numFmt w:val="bullet"/>
      <w:lvlText w:val="●"/>
      <w:lvlJc w:val="left"/>
      <w:pPr>
        <w:ind w:left="720" w:hanging="360"/>
      </w:pPr>
    </w:lvl>
    <w:lvl w:ilvl="1" w:tplc="EFBEFE1C">
      <w:start w:val="1"/>
      <w:numFmt w:val="bullet"/>
      <w:lvlText w:val="○"/>
      <w:lvlJc w:val="left"/>
      <w:pPr>
        <w:ind w:left="1440" w:hanging="360"/>
      </w:pPr>
    </w:lvl>
    <w:lvl w:ilvl="2" w:tplc="004477E8">
      <w:start w:val="1"/>
      <w:numFmt w:val="bullet"/>
      <w:lvlText w:val="■"/>
      <w:lvlJc w:val="left"/>
      <w:pPr>
        <w:ind w:left="2160" w:hanging="360"/>
      </w:pPr>
    </w:lvl>
    <w:lvl w:ilvl="3" w:tplc="A15CC7B4">
      <w:start w:val="1"/>
      <w:numFmt w:val="bullet"/>
      <w:lvlText w:val="●"/>
      <w:lvlJc w:val="left"/>
      <w:pPr>
        <w:ind w:left="2880" w:hanging="360"/>
      </w:pPr>
    </w:lvl>
    <w:lvl w:ilvl="4" w:tplc="F6E2D6D2">
      <w:start w:val="1"/>
      <w:numFmt w:val="bullet"/>
      <w:lvlText w:val="○"/>
      <w:lvlJc w:val="left"/>
      <w:pPr>
        <w:ind w:left="3600" w:hanging="360"/>
      </w:pPr>
    </w:lvl>
    <w:lvl w:ilvl="5" w:tplc="D9DA2DBE">
      <w:start w:val="1"/>
      <w:numFmt w:val="bullet"/>
      <w:lvlText w:val="■"/>
      <w:lvlJc w:val="left"/>
      <w:pPr>
        <w:ind w:left="4320" w:hanging="360"/>
      </w:pPr>
    </w:lvl>
    <w:lvl w:ilvl="6" w:tplc="554811FA">
      <w:start w:val="1"/>
      <w:numFmt w:val="bullet"/>
      <w:lvlText w:val="●"/>
      <w:lvlJc w:val="left"/>
      <w:pPr>
        <w:ind w:left="5040" w:hanging="360"/>
      </w:pPr>
    </w:lvl>
    <w:lvl w:ilvl="7" w:tplc="06F687E0">
      <w:start w:val="1"/>
      <w:numFmt w:val="bullet"/>
      <w:lvlText w:val="●"/>
      <w:lvlJc w:val="left"/>
      <w:pPr>
        <w:ind w:left="5760" w:hanging="360"/>
      </w:pPr>
    </w:lvl>
    <w:lvl w:ilvl="8" w:tplc="3F1A41A2">
      <w:start w:val="1"/>
      <w:numFmt w:val="bullet"/>
      <w:lvlText w:val="●"/>
      <w:lvlJc w:val="left"/>
      <w:pPr>
        <w:ind w:left="6480" w:hanging="360"/>
      </w:pPr>
    </w:lvl>
  </w:abstractNum>
  <w:num w:numId="1" w16cid:durableId="1666669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3D0"/>
    <w:rsid w:val="002F6BD1"/>
    <w:rsid w:val="00351F92"/>
    <w:rsid w:val="003C1CDC"/>
    <w:rsid w:val="00D713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ABEF"/>
  <w15:docId w15:val="{98AE4F26-3A99-4ED1-8FB5-D0B0CDDB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2624</Words>
  <Characters>14434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2026-06-06T20:18:00Z</dcterms:created>
  <dcterms:modified xsi:type="dcterms:W3CDTF">2026-06-06T20:19:00Z</dcterms:modified>
</cp:coreProperties>
</file>