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FD813" w14:textId="77777777" w:rsidR="00340073" w:rsidRDefault="00000000">
      <w:pPr>
        <w:spacing w:before="480" w:after="60"/>
        <w:jc w:val="center"/>
      </w:pPr>
      <w:r>
        <w:rPr>
          <w:rFonts w:ascii="Calibri" w:eastAsia="Calibri" w:hAnsi="Calibri" w:cs="Calibri"/>
          <w:b/>
          <w:bCs/>
          <w:color w:val="185FA5"/>
          <w:sz w:val="36"/>
          <w:szCs w:val="36"/>
        </w:rPr>
        <w:t>PROCEDIMIENTO DE GESTIÓN DE BUZONES</w:t>
      </w:r>
    </w:p>
    <w:p w14:paraId="435FD814" w14:textId="77777777" w:rsidR="00340073" w:rsidRDefault="00000000">
      <w:pPr>
        <w:spacing w:after="60"/>
        <w:jc w:val="center"/>
      </w:pPr>
      <w:r>
        <w:rPr>
          <w:rFonts w:ascii="Calibri" w:eastAsia="Calibri" w:hAnsi="Calibri" w:cs="Calibri"/>
          <w:color w:val="5F5E5A"/>
          <w:sz w:val="22"/>
          <w:szCs w:val="22"/>
        </w:rPr>
        <w:t xml:space="preserve">Correo Electrónico </w:t>
      </w:r>
      <w:proofErr w:type="gramStart"/>
      <w:r>
        <w:rPr>
          <w:rFonts w:ascii="Calibri" w:eastAsia="Calibri" w:hAnsi="Calibri" w:cs="Calibri"/>
          <w:color w:val="5F5E5A"/>
          <w:sz w:val="22"/>
          <w:szCs w:val="22"/>
        </w:rPr>
        <w:t>Corporativo  ·</w:t>
      </w:r>
      <w:proofErr w:type="gramEnd"/>
      <w:r>
        <w:rPr>
          <w:rFonts w:ascii="Calibri" w:eastAsia="Calibri" w:hAnsi="Calibri" w:cs="Calibri"/>
          <w:color w:val="5F5E5A"/>
          <w:sz w:val="22"/>
          <w:szCs w:val="22"/>
        </w:rPr>
        <w:t xml:space="preserve">  Plantilla 6.2</w:t>
      </w:r>
    </w:p>
    <w:p w14:paraId="435FD815" w14:textId="77777777" w:rsidR="00340073" w:rsidRDefault="00340073">
      <w:pPr>
        <w:pBdr>
          <w:bottom w:val="single" w:sz="18" w:space="0" w:color="185FA5"/>
        </w:pBdr>
        <w:spacing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40073" w14:paraId="435FD818"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435FD816" w14:textId="77777777" w:rsidR="00340073" w:rsidRDefault="00000000">
            <w:r>
              <w:rPr>
                <w:rFonts w:ascii="Calibri" w:eastAsia="Calibri" w:hAnsi="Calibri" w:cs="Calibri"/>
                <w:b/>
                <w:bCs/>
                <w:color w:val="FFFFFF"/>
                <w:sz w:val="18"/>
                <w:szCs w:val="18"/>
              </w:rPr>
              <w:t>Campo</w:t>
            </w:r>
          </w:p>
        </w:tc>
        <w:tc>
          <w:tcPr>
            <w:tcW w:w="656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435FD817" w14:textId="77777777" w:rsidR="00340073" w:rsidRDefault="00000000">
            <w:r>
              <w:rPr>
                <w:color w:val="FFFFFF"/>
                <w:sz w:val="18"/>
                <w:szCs w:val="18"/>
              </w:rPr>
              <w:t>Valor</w:t>
            </w:r>
          </w:p>
        </w:tc>
      </w:tr>
      <w:tr w:rsidR="00340073" w14:paraId="435FD81B"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19" w14:textId="77777777" w:rsidR="00340073" w:rsidRDefault="00000000">
            <w:r>
              <w:rPr>
                <w:rFonts w:ascii="Calibri" w:eastAsia="Calibri" w:hAnsi="Calibri" w:cs="Calibri"/>
                <w:b/>
                <w:bCs/>
                <w:color w:val="5F5E5A"/>
                <w:sz w:val="18"/>
                <w:szCs w:val="18"/>
              </w:rPr>
              <w:t>Organización</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1A" w14:textId="77777777" w:rsidR="00340073" w:rsidRDefault="00000000">
            <w:r>
              <w:rPr>
                <w:color w:val="000000"/>
                <w:sz w:val="18"/>
                <w:szCs w:val="18"/>
              </w:rPr>
              <w:t>[Nombre de la empresa]</w:t>
            </w:r>
          </w:p>
        </w:tc>
      </w:tr>
      <w:tr w:rsidR="00340073" w14:paraId="435FD81E"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1C" w14:textId="77777777" w:rsidR="00340073" w:rsidRDefault="00000000">
            <w:r>
              <w:rPr>
                <w:rFonts w:ascii="Calibri" w:eastAsia="Calibri" w:hAnsi="Calibri" w:cs="Calibri"/>
                <w:b/>
                <w:bCs/>
                <w:color w:val="5F5E5A"/>
                <w:sz w:val="18"/>
                <w:szCs w:val="18"/>
              </w:rPr>
              <w:t>Versión</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1D" w14:textId="77777777" w:rsidR="00340073" w:rsidRDefault="00000000">
            <w:r>
              <w:rPr>
                <w:color w:val="000000"/>
                <w:sz w:val="18"/>
                <w:szCs w:val="18"/>
              </w:rPr>
              <w:t>1.0</w:t>
            </w:r>
          </w:p>
        </w:tc>
      </w:tr>
      <w:tr w:rsidR="00340073" w14:paraId="435FD821"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1F" w14:textId="77777777" w:rsidR="00340073" w:rsidRDefault="00000000">
            <w:r>
              <w:rPr>
                <w:rFonts w:ascii="Calibri" w:eastAsia="Calibri" w:hAnsi="Calibri" w:cs="Calibri"/>
                <w:b/>
                <w:bCs/>
                <w:color w:val="5F5E5A"/>
                <w:sz w:val="18"/>
                <w:szCs w:val="18"/>
              </w:rPr>
              <w:t>Fecha de emisión</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20" w14:textId="77777777" w:rsidR="00340073" w:rsidRDefault="00000000">
            <w:r>
              <w:rPr>
                <w:color w:val="000000"/>
                <w:sz w:val="18"/>
                <w:szCs w:val="18"/>
              </w:rPr>
              <w:t>[DD/MM/AAAA]</w:t>
            </w:r>
          </w:p>
        </w:tc>
      </w:tr>
      <w:tr w:rsidR="00340073" w14:paraId="435FD824"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22" w14:textId="77777777" w:rsidR="00340073" w:rsidRDefault="00000000">
            <w:r>
              <w:rPr>
                <w:rFonts w:ascii="Calibri" w:eastAsia="Calibri" w:hAnsi="Calibri" w:cs="Calibri"/>
                <w:b/>
                <w:bCs/>
                <w:color w:val="5F5E5A"/>
                <w:sz w:val="18"/>
                <w:szCs w:val="18"/>
              </w:rPr>
              <w:t>Próxima revisión</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23" w14:textId="77777777" w:rsidR="00340073" w:rsidRDefault="00000000">
            <w:r>
              <w:rPr>
                <w:color w:val="000000"/>
                <w:sz w:val="18"/>
                <w:szCs w:val="18"/>
              </w:rPr>
              <w:t>[DD/MM/AAAA]</w:t>
            </w:r>
          </w:p>
        </w:tc>
      </w:tr>
      <w:tr w:rsidR="00340073" w14:paraId="435FD827"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25" w14:textId="77777777" w:rsidR="00340073" w:rsidRDefault="00000000">
            <w:r>
              <w:rPr>
                <w:rFonts w:ascii="Calibri" w:eastAsia="Calibri" w:hAnsi="Calibri" w:cs="Calibri"/>
                <w:b/>
                <w:bCs/>
                <w:color w:val="5F5E5A"/>
                <w:sz w:val="18"/>
                <w:szCs w:val="18"/>
              </w:rPr>
              <w:t>Elaborado por</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26" w14:textId="77777777" w:rsidR="00340073" w:rsidRDefault="00000000">
            <w:r>
              <w:rPr>
                <w:color w:val="000000"/>
                <w:sz w:val="18"/>
                <w:szCs w:val="18"/>
              </w:rPr>
              <w:t>[Nombre · Cargo]</w:t>
            </w:r>
          </w:p>
        </w:tc>
      </w:tr>
      <w:tr w:rsidR="00340073" w14:paraId="435FD82A"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28" w14:textId="77777777" w:rsidR="00340073" w:rsidRDefault="00000000">
            <w:r>
              <w:rPr>
                <w:rFonts w:ascii="Calibri" w:eastAsia="Calibri" w:hAnsi="Calibri" w:cs="Calibri"/>
                <w:b/>
                <w:bCs/>
                <w:color w:val="5F5E5A"/>
                <w:sz w:val="18"/>
                <w:szCs w:val="18"/>
              </w:rPr>
              <w:t>Aprobado por</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29" w14:textId="77777777" w:rsidR="00340073" w:rsidRDefault="00000000">
            <w:r>
              <w:rPr>
                <w:color w:val="000000"/>
                <w:sz w:val="18"/>
                <w:szCs w:val="18"/>
              </w:rPr>
              <w:t>[Nombre · Cargo · Firma]</w:t>
            </w:r>
          </w:p>
        </w:tc>
      </w:tr>
      <w:tr w:rsidR="00340073" w14:paraId="435FD82D"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2B" w14:textId="77777777" w:rsidR="00340073" w:rsidRDefault="00000000">
            <w:r>
              <w:rPr>
                <w:rFonts w:ascii="Calibri" w:eastAsia="Calibri" w:hAnsi="Calibri" w:cs="Calibri"/>
                <w:b/>
                <w:bCs/>
                <w:color w:val="5F5E5A"/>
                <w:sz w:val="18"/>
                <w:szCs w:val="18"/>
              </w:rPr>
              <w:t>Documento relacionado</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2C" w14:textId="77777777" w:rsidR="00340073" w:rsidRDefault="00000000">
            <w:r>
              <w:rPr>
                <w:color w:val="000000"/>
                <w:sz w:val="18"/>
                <w:szCs w:val="18"/>
              </w:rPr>
              <w:t>Política de Gestión del Correo Electrónico — Plantilla 6.1</w:t>
            </w:r>
          </w:p>
        </w:tc>
      </w:tr>
      <w:tr w:rsidR="00340073" w14:paraId="435FD830"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2E" w14:textId="77777777" w:rsidR="00340073" w:rsidRDefault="00000000">
            <w:r>
              <w:rPr>
                <w:rFonts w:ascii="Calibri" w:eastAsia="Calibri" w:hAnsi="Calibri" w:cs="Calibri"/>
                <w:b/>
                <w:bCs/>
                <w:color w:val="5F5E5A"/>
                <w:sz w:val="18"/>
                <w:szCs w:val="18"/>
              </w:rPr>
              <w:t>Clasificación</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2F" w14:textId="77777777" w:rsidR="00340073" w:rsidRDefault="00000000">
            <w:r>
              <w:rPr>
                <w:color w:val="000000"/>
                <w:sz w:val="18"/>
                <w:szCs w:val="18"/>
              </w:rPr>
              <w:t>Uso interno — Equipo de TI</w:t>
            </w:r>
          </w:p>
        </w:tc>
      </w:tr>
    </w:tbl>
    <w:p w14:paraId="435FD831" w14:textId="77777777" w:rsidR="00340073" w:rsidRDefault="00340073">
      <w:pPr>
        <w:spacing w:after="240"/>
      </w:pPr>
    </w:p>
    <w:p w14:paraId="435FD832" w14:textId="77777777" w:rsidR="00340073" w:rsidRDefault="00000000">
      <w:pPr>
        <w:pBdr>
          <w:bottom w:val="single" w:sz="12" w:space="0" w:color="185FA5"/>
        </w:pBdr>
        <w:spacing w:before="280" w:after="120"/>
      </w:pPr>
      <w:r>
        <w:rPr>
          <w:rFonts w:ascii="Calibri" w:eastAsia="Calibri" w:hAnsi="Calibri" w:cs="Calibri"/>
          <w:b/>
          <w:bCs/>
          <w:color w:val="185FA5"/>
          <w:sz w:val="24"/>
          <w:szCs w:val="24"/>
        </w:rPr>
        <w:t>1. Propósito</w:t>
      </w:r>
    </w:p>
    <w:p w14:paraId="435FD833" w14:textId="77777777" w:rsidR="00340073" w:rsidRDefault="00000000">
      <w:pPr>
        <w:spacing w:after="120" w:line="276" w:lineRule="auto"/>
        <w:jc w:val="both"/>
      </w:pPr>
      <w:r>
        <w:rPr>
          <w:color w:val="000000"/>
        </w:rPr>
        <w:t>Este procedimiento establece los pasos operativos que el equipo de TI debe seguir para la creación, modificación, desactivación y eliminación de buzones de correo electrónico corporativo. Su objetivo es garantizar que el ciclo de vida de cada buzón esté documentado, autorizado y ejecutado de forma consistente, reduciendo el riesgo de accesos no autorizados, buzones huérfanos y brechas de seguridad derivadas de una gestión informal del servicio.</w:t>
      </w:r>
    </w:p>
    <w:p w14:paraId="435FD834" w14:textId="77777777" w:rsidR="00340073" w:rsidRDefault="00000000">
      <w:pPr>
        <w:pBdr>
          <w:bottom w:val="single" w:sz="12" w:space="0" w:color="185FA5"/>
        </w:pBdr>
        <w:spacing w:before="280" w:after="120"/>
      </w:pPr>
      <w:r>
        <w:rPr>
          <w:rFonts w:ascii="Calibri" w:eastAsia="Calibri" w:hAnsi="Calibri" w:cs="Calibri"/>
          <w:b/>
          <w:bCs/>
          <w:color w:val="185FA5"/>
          <w:sz w:val="24"/>
          <w:szCs w:val="24"/>
        </w:rPr>
        <w:t>2. Alcance</w:t>
      </w:r>
    </w:p>
    <w:p w14:paraId="435FD835" w14:textId="77777777" w:rsidR="00340073" w:rsidRDefault="00000000">
      <w:pPr>
        <w:spacing w:after="120" w:line="276" w:lineRule="auto"/>
        <w:jc w:val="both"/>
      </w:pPr>
      <w:r>
        <w:rPr>
          <w:color w:val="000000"/>
        </w:rPr>
        <w:t>Este procedimiento aplica a todos los buzones gestionados bajo el dominio corporativo de la organización, incluyendo buzones individuales de usuario, buzones compartidos, listas de distribución y cuentas funcionales de área. Es de cumplimiento obligatorio para el equipo de TI y para todo responsable de área que solicite la creación o modificación de un buzón.</w:t>
      </w:r>
    </w:p>
    <w:p w14:paraId="435FD836" w14:textId="77777777" w:rsidR="00340073" w:rsidRDefault="00000000">
      <w:pPr>
        <w:pBdr>
          <w:bottom w:val="single" w:sz="12" w:space="0" w:color="185FA5"/>
        </w:pBdr>
        <w:spacing w:before="280" w:after="120"/>
      </w:pPr>
      <w:r>
        <w:rPr>
          <w:rFonts w:ascii="Calibri" w:eastAsia="Calibri" w:hAnsi="Calibri" w:cs="Calibri"/>
          <w:b/>
          <w:bCs/>
          <w:color w:val="185FA5"/>
          <w:sz w:val="24"/>
          <w:szCs w:val="24"/>
        </w:rPr>
        <w:t>3. Roles y Responsabilidades</w:t>
      </w:r>
    </w:p>
    <w:p w14:paraId="435FD837" w14:textId="77777777" w:rsidR="00340073" w:rsidRDefault="003400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40073" w14:paraId="435FD83A" w14:textId="77777777">
        <w:tblPrEx>
          <w:tblCellMar>
            <w:top w:w="0" w:type="dxa"/>
            <w:bottom w:w="0" w:type="dxa"/>
          </w:tblCellMar>
        </w:tblPrEx>
        <w:tc>
          <w:tcPr>
            <w:tcW w:w="260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435FD838" w14:textId="77777777" w:rsidR="00340073" w:rsidRDefault="00000000">
            <w:r>
              <w:rPr>
                <w:rFonts w:ascii="Calibri" w:eastAsia="Calibri" w:hAnsi="Calibri" w:cs="Calibri"/>
                <w:b/>
                <w:bCs/>
                <w:color w:val="FFFFFF"/>
                <w:sz w:val="18"/>
                <w:szCs w:val="18"/>
              </w:rPr>
              <w:t>Rol</w:t>
            </w:r>
          </w:p>
        </w:tc>
        <w:tc>
          <w:tcPr>
            <w:tcW w:w="676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435FD839" w14:textId="77777777" w:rsidR="00340073" w:rsidRDefault="00000000">
            <w:r>
              <w:rPr>
                <w:rFonts w:ascii="Calibri" w:eastAsia="Calibri" w:hAnsi="Calibri" w:cs="Calibri"/>
                <w:b/>
                <w:bCs/>
                <w:color w:val="FFFFFF"/>
                <w:sz w:val="18"/>
                <w:szCs w:val="18"/>
              </w:rPr>
              <w:t>Responsabilidad en este procedimiento</w:t>
            </w:r>
          </w:p>
        </w:tc>
      </w:tr>
      <w:tr w:rsidR="00340073" w14:paraId="435FD83D" w14:textId="77777777">
        <w:tblPrEx>
          <w:tblCellMar>
            <w:top w:w="0" w:type="dxa"/>
            <w:bottom w:w="0" w:type="dxa"/>
          </w:tblCellMar>
        </w:tblPrEx>
        <w:tc>
          <w:tcPr>
            <w:tcW w:w="26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3B" w14:textId="77777777" w:rsidR="00340073" w:rsidRDefault="00000000">
            <w:r>
              <w:rPr>
                <w:color w:val="000000"/>
                <w:sz w:val="18"/>
                <w:szCs w:val="18"/>
              </w:rPr>
              <w:t>Administrador de TI</w:t>
            </w:r>
          </w:p>
        </w:tc>
        <w:tc>
          <w:tcPr>
            <w:tcW w:w="67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3C" w14:textId="77777777" w:rsidR="00340073" w:rsidRDefault="00000000">
            <w:r>
              <w:rPr>
                <w:color w:val="000000"/>
                <w:sz w:val="18"/>
                <w:szCs w:val="18"/>
              </w:rPr>
              <w:t>Ejecutar todas las operaciones técnicas sobre los buzones. Es el único rol autorizado para crear, modificar, desactivar o eliminar buzones en la consola de administración.</w:t>
            </w:r>
          </w:p>
        </w:tc>
      </w:tr>
      <w:tr w:rsidR="00340073" w14:paraId="435FD840" w14:textId="77777777">
        <w:tblPrEx>
          <w:tblCellMar>
            <w:top w:w="0" w:type="dxa"/>
            <w:bottom w:w="0" w:type="dxa"/>
          </w:tblCellMar>
        </w:tblPrEx>
        <w:tc>
          <w:tcPr>
            <w:tcW w:w="26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3E" w14:textId="77777777" w:rsidR="00340073" w:rsidRDefault="00000000">
            <w:r>
              <w:rPr>
                <w:color w:val="000000"/>
                <w:sz w:val="18"/>
                <w:szCs w:val="18"/>
              </w:rPr>
              <w:t>Responsable de área</w:t>
            </w:r>
          </w:p>
        </w:tc>
        <w:tc>
          <w:tcPr>
            <w:tcW w:w="676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3F" w14:textId="77777777" w:rsidR="00340073" w:rsidRDefault="00000000">
            <w:r>
              <w:rPr>
                <w:color w:val="000000"/>
                <w:sz w:val="18"/>
                <w:szCs w:val="18"/>
              </w:rPr>
              <w:t>Solicitar formalmente la creación, modificación o desactivación de buzones de su área. Designar al propietario de cada buzón compartido o funcional bajo su responsabilidad.</w:t>
            </w:r>
          </w:p>
        </w:tc>
      </w:tr>
      <w:tr w:rsidR="00340073" w14:paraId="435FD843" w14:textId="77777777">
        <w:tblPrEx>
          <w:tblCellMar>
            <w:top w:w="0" w:type="dxa"/>
            <w:bottom w:w="0" w:type="dxa"/>
          </w:tblCellMar>
        </w:tblPrEx>
        <w:tc>
          <w:tcPr>
            <w:tcW w:w="26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41" w14:textId="77777777" w:rsidR="00340073" w:rsidRDefault="00000000">
            <w:r>
              <w:rPr>
                <w:color w:val="000000"/>
                <w:sz w:val="18"/>
                <w:szCs w:val="18"/>
              </w:rPr>
              <w:t>Recursos Humanos</w:t>
            </w:r>
          </w:p>
        </w:tc>
        <w:tc>
          <w:tcPr>
            <w:tcW w:w="67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42" w14:textId="77777777" w:rsidR="00340073" w:rsidRDefault="00000000">
            <w:r>
              <w:rPr>
                <w:color w:val="000000"/>
                <w:sz w:val="18"/>
                <w:szCs w:val="18"/>
              </w:rPr>
              <w:t>Notificar al equipo de TI con al menos 48 horas de anticipación los eventos de incorporación (</w:t>
            </w:r>
            <w:proofErr w:type="spellStart"/>
            <w:r>
              <w:rPr>
                <w:color w:val="000000"/>
                <w:sz w:val="18"/>
                <w:szCs w:val="18"/>
              </w:rPr>
              <w:t>onboarding</w:t>
            </w:r>
            <w:proofErr w:type="spellEnd"/>
            <w:r>
              <w:rPr>
                <w:color w:val="000000"/>
                <w:sz w:val="18"/>
                <w:szCs w:val="18"/>
              </w:rPr>
              <w:t>) y desvinculación (</w:t>
            </w:r>
            <w:proofErr w:type="spellStart"/>
            <w:r>
              <w:rPr>
                <w:color w:val="000000"/>
                <w:sz w:val="18"/>
                <w:szCs w:val="18"/>
              </w:rPr>
              <w:t>offboarding</w:t>
            </w:r>
            <w:proofErr w:type="spellEnd"/>
            <w:r>
              <w:rPr>
                <w:color w:val="000000"/>
                <w:sz w:val="18"/>
                <w:szCs w:val="18"/>
              </w:rPr>
              <w:t>) de colaboradores.</w:t>
            </w:r>
          </w:p>
        </w:tc>
      </w:tr>
      <w:tr w:rsidR="00340073" w14:paraId="435FD846" w14:textId="77777777">
        <w:tblPrEx>
          <w:tblCellMar>
            <w:top w:w="0" w:type="dxa"/>
            <w:bottom w:w="0" w:type="dxa"/>
          </w:tblCellMar>
        </w:tblPrEx>
        <w:tc>
          <w:tcPr>
            <w:tcW w:w="26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44" w14:textId="77777777" w:rsidR="00340073" w:rsidRDefault="00000000">
            <w:r>
              <w:rPr>
                <w:color w:val="000000"/>
                <w:sz w:val="18"/>
                <w:szCs w:val="18"/>
              </w:rPr>
              <w:lastRenderedPageBreak/>
              <w:t>Propietario del buzón</w:t>
            </w:r>
          </w:p>
        </w:tc>
        <w:tc>
          <w:tcPr>
            <w:tcW w:w="676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45" w14:textId="77777777" w:rsidR="00340073" w:rsidRDefault="00000000">
            <w:r>
              <w:rPr>
                <w:color w:val="000000"/>
                <w:sz w:val="18"/>
                <w:szCs w:val="18"/>
              </w:rPr>
              <w:t>Para buzones compartidos y funcionales: persona responsable de las decisiones sobre acceso, contenido y vigencia del buzón. No ejecuta cambios técnicos directamente.</w:t>
            </w:r>
          </w:p>
        </w:tc>
      </w:tr>
    </w:tbl>
    <w:p w14:paraId="435FD847" w14:textId="77777777" w:rsidR="00340073" w:rsidRDefault="00340073">
      <w:pPr>
        <w:spacing w:after="200"/>
      </w:pPr>
    </w:p>
    <w:p w14:paraId="435FD848" w14:textId="77777777" w:rsidR="00340073" w:rsidRDefault="00000000">
      <w:pPr>
        <w:pBdr>
          <w:bottom w:val="single" w:sz="12" w:space="0" w:color="185FA5"/>
        </w:pBdr>
        <w:spacing w:before="280" w:after="120"/>
      </w:pPr>
      <w:r>
        <w:rPr>
          <w:rFonts w:ascii="Calibri" w:eastAsia="Calibri" w:hAnsi="Calibri" w:cs="Calibri"/>
          <w:b/>
          <w:bCs/>
          <w:color w:val="185FA5"/>
          <w:sz w:val="24"/>
          <w:szCs w:val="24"/>
        </w:rPr>
        <w:t>4. Nomenclatura de Buzones</w:t>
      </w:r>
    </w:p>
    <w:p w14:paraId="435FD849" w14:textId="77777777" w:rsidR="00340073" w:rsidRDefault="00000000">
      <w:pPr>
        <w:spacing w:after="120" w:line="276" w:lineRule="auto"/>
        <w:jc w:val="both"/>
      </w:pPr>
      <w:r>
        <w:rPr>
          <w:color w:val="000000"/>
        </w:rPr>
        <w:t>Todos los buzones corporativos deben seguir el estándar de nomenclatura definido en la siguiente tabla. La consistencia en los nombres facilita la administración, reduce errores de entrega y dificulta la suplantación de identidad:</w:t>
      </w:r>
    </w:p>
    <w:p w14:paraId="435FD84A" w14:textId="77777777" w:rsidR="00340073" w:rsidRDefault="003400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340073" w14:paraId="435FD84E" w14:textId="77777777">
        <w:tblPrEx>
          <w:tblCellMar>
            <w:top w:w="0" w:type="dxa"/>
            <w:bottom w:w="0" w:type="dxa"/>
          </w:tblCellMar>
        </w:tblPrEx>
        <w:tc>
          <w:tcPr>
            <w:tcW w:w="240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435FD84B" w14:textId="77777777" w:rsidR="00340073" w:rsidRDefault="00000000">
            <w:r>
              <w:rPr>
                <w:rFonts w:ascii="Calibri" w:eastAsia="Calibri" w:hAnsi="Calibri" w:cs="Calibri"/>
                <w:b/>
                <w:bCs/>
                <w:color w:val="FFFFFF"/>
                <w:sz w:val="18"/>
                <w:szCs w:val="18"/>
              </w:rPr>
              <w:t>Tipo de buzón</w:t>
            </w:r>
          </w:p>
        </w:tc>
        <w:tc>
          <w:tcPr>
            <w:tcW w:w="336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435FD84C" w14:textId="77777777" w:rsidR="00340073" w:rsidRDefault="00000000">
            <w:r>
              <w:rPr>
                <w:rFonts w:ascii="Calibri" w:eastAsia="Calibri" w:hAnsi="Calibri" w:cs="Calibri"/>
                <w:b/>
                <w:bCs/>
                <w:color w:val="FFFFFF"/>
                <w:sz w:val="18"/>
                <w:szCs w:val="18"/>
              </w:rPr>
              <w:t>Formato recomendado</w:t>
            </w:r>
          </w:p>
        </w:tc>
        <w:tc>
          <w:tcPr>
            <w:tcW w:w="360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435FD84D" w14:textId="77777777" w:rsidR="00340073" w:rsidRDefault="00000000">
            <w:r>
              <w:rPr>
                <w:rFonts w:ascii="Calibri" w:eastAsia="Calibri" w:hAnsi="Calibri" w:cs="Calibri"/>
                <w:b/>
                <w:bCs/>
                <w:color w:val="FFFFFF"/>
                <w:sz w:val="18"/>
                <w:szCs w:val="18"/>
              </w:rPr>
              <w:t>Ejemplo</w:t>
            </w:r>
          </w:p>
        </w:tc>
      </w:tr>
      <w:tr w:rsidR="00340073" w14:paraId="435FD852" w14:textId="77777777">
        <w:tblPrEx>
          <w:tblCellMar>
            <w:top w:w="0" w:type="dxa"/>
            <w:bottom w:w="0" w:type="dxa"/>
          </w:tblCellMar>
        </w:tblPrEx>
        <w:tc>
          <w:tcPr>
            <w:tcW w:w="24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4F" w14:textId="77777777" w:rsidR="00340073" w:rsidRDefault="00000000">
            <w:r>
              <w:rPr>
                <w:color w:val="000000"/>
                <w:sz w:val="18"/>
                <w:szCs w:val="18"/>
              </w:rPr>
              <w:t>Usuario individual</w:t>
            </w:r>
          </w:p>
        </w:tc>
        <w:tc>
          <w:tcPr>
            <w:tcW w:w="33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50" w14:textId="77777777" w:rsidR="00340073" w:rsidRDefault="00000000">
            <w:r>
              <w:rPr>
                <w:color w:val="000000"/>
                <w:sz w:val="18"/>
                <w:szCs w:val="18"/>
              </w:rPr>
              <w:t>nombre.apellido@dominio.com</w:t>
            </w:r>
          </w:p>
        </w:tc>
        <w:tc>
          <w:tcPr>
            <w:tcW w:w="36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51" w14:textId="77777777" w:rsidR="00340073" w:rsidRDefault="00000000">
            <w:r>
              <w:rPr>
                <w:color w:val="000000"/>
                <w:sz w:val="18"/>
                <w:szCs w:val="18"/>
              </w:rPr>
              <w:t>ana.gomez@empresa.com</w:t>
            </w:r>
          </w:p>
        </w:tc>
      </w:tr>
      <w:tr w:rsidR="00340073" w14:paraId="435FD856" w14:textId="77777777">
        <w:tblPrEx>
          <w:tblCellMar>
            <w:top w:w="0" w:type="dxa"/>
            <w:bottom w:w="0" w:type="dxa"/>
          </w:tblCellMar>
        </w:tblPrEx>
        <w:tc>
          <w:tcPr>
            <w:tcW w:w="24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53" w14:textId="77777777" w:rsidR="00340073" w:rsidRDefault="00000000">
            <w:r>
              <w:rPr>
                <w:color w:val="000000"/>
                <w:sz w:val="18"/>
                <w:szCs w:val="18"/>
              </w:rPr>
              <w:t>Usuario con nombre común</w:t>
            </w:r>
          </w:p>
        </w:tc>
        <w:tc>
          <w:tcPr>
            <w:tcW w:w="336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54" w14:textId="77777777" w:rsidR="00340073" w:rsidRDefault="00000000">
            <w:r>
              <w:rPr>
                <w:color w:val="000000"/>
                <w:sz w:val="18"/>
                <w:szCs w:val="18"/>
              </w:rPr>
              <w:t>nombre.apellido2@dominio.com</w:t>
            </w:r>
          </w:p>
        </w:tc>
        <w:tc>
          <w:tcPr>
            <w:tcW w:w="36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55" w14:textId="77777777" w:rsidR="00340073" w:rsidRDefault="00000000">
            <w:r>
              <w:rPr>
                <w:color w:val="000000"/>
                <w:sz w:val="18"/>
                <w:szCs w:val="18"/>
              </w:rPr>
              <w:t>carlos.lopez2@empresa.com</w:t>
            </w:r>
          </w:p>
        </w:tc>
      </w:tr>
      <w:tr w:rsidR="00340073" w14:paraId="435FD85A" w14:textId="77777777">
        <w:tblPrEx>
          <w:tblCellMar>
            <w:top w:w="0" w:type="dxa"/>
            <w:bottom w:w="0" w:type="dxa"/>
          </w:tblCellMar>
        </w:tblPrEx>
        <w:tc>
          <w:tcPr>
            <w:tcW w:w="24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57" w14:textId="77777777" w:rsidR="00340073" w:rsidRDefault="00000000">
            <w:r>
              <w:rPr>
                <w:color w:val="000000"/>
                <w:sz w:val="18"/>
                <w:szCs w:val="18"/>
              </w:rPr>
              <w:t>Buzón funcional de área</w:t>
            </w:r>
          </w:p>
        </w:tc>
        <w:tc>
          <w:tcPr>
            <w:tcW w:w="33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58" w14:textId="77777777" w:rsidR="00340073" w:rsidRDefault="00000000">
            <w:r>
              <w:rPr>
                <w:color w:val="000000"/>
                <w:sz w:val="18"/>
                <w:szCs w:val="18"/>
              </w:rPr>
              <w:t>area@dominio.com</w:t>
            </w:r>
          </w:p>
        </w:tc>
        <w:tc>
          <w:tcPr>
            <w:tcW w:w="36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59" w14:textId="77777777" w:rsidR="00340073" w:rsidRDefault="00000000">
            <w:r>
              <w:rPr>
                <w:color w:val="000000"/>
                <w:sz w:val="18"/>
                <w:szCs w:val="18"/>
              </w:rPr>
              <w:t>contabilidad@empresa.com</w:t>
            </w:r>
          </w:p>
        </w:tc>
      </w:tr>
      <w:tr w:rsidR="00340073" w14:paraId="435FD85E" w14:textId="77777777">
        <w:tblPrEx>
          <w:tblCellMar>
            <w:top w:w="0" w:type="dxa"/>
            <w:bottom w:w="0" w:type="dxa"/>
          </w:tblCellMar>
        </w:tblPrEx>
        <w:tc>
          <w:tcPr>
            <w:tcW w:w="24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5B" w14:textId="77777777" w:rsidR="00340073" w:rsidRDefault="00000000">
            <w:r>
              <w:rPr>
                <w:color w:val="000000"/>
                <w:sz w:val="18"/>
                <w:szCs w:val="18"/>
              </w:rPr>
              <w:t>Buzón de contacto general</w:t>
            </w:r>
          </w:p>
        </w:tc>
        <w:tc>
          <w:tcPr>
            <w:tcW w:w="336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5C" w14:textId="77777777" w:rsidR="00340073" w:rsidRDefault="00000000">
            <w:r>
              <w:rPr>
                <w:color w:val="000000"/>
                <w:sz w:val="18"/>
                <w:szCs w:val="18"/>
              </w:rPr>
              <w:t>info@dominio.com contacto@dominio.com</w:t>
            </w:r>
          </w:p>
        </w:tc>
        <w:tc>
          <w:tcPr>
            <w:tcW w:w="36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5D" w14:textId="77777777" w:rsidR="00340073" w:rsidRDefault="00000000">
            <w:r>
              <w:rPr>
                <w:color w:val="000000"/>
                <w:sz w:val="18"/>
                <w:szCs w:val="18"/>
              </w:rPr>
              <w:t>info@empresa.com</w:t>
            </w:r>
          </w:p>
        </w:tc>
      </w:tr>
      <w:tr w:rsidR="00340073" w14:paraId="435FD862" w14:textId="77777777">
        <w:tblPrEx>
          <w:tblCellMar>
            <w:top w:w="0" w:type="dxa"/>
            <w:bottom w:w="0" w:type="dxa"/>
          </w:tblCellMar>
        </w:tblPrEx>
        <w:tc>
          <w:tcPr>
            <w:tcW w:w="24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5F" w14:textId="77777777" w:rsidR="00340073" w:rsidRDefault="00000000">
            <w:r>
              <w:rPr>
                <w:color w:val="000000"/>
                <w:sz w:val="18"/>
                <w:szCs w:val="18"/>
              </w:rPr>
              <w:t>Lista de distribución</w:t>
            </w:r>
          </w:p>
        </w:tc>
        <w:tc>
          <w:tcPr>
            <w:tcW w:w="33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60" w14:textId="77777777" w:rsidR="00340073" w:rsidRDefault="00000000">
            <w:r>
              <w:rPr>
                <w:color w:val="000000"/>
                <w:sz w:val="18"/>
                <w:szCs w:val="18"/>
              </w:rPr>
              <w:t>lista-nombre@dominio.com</w:t>
            </w:r>
          </w:p>
        </w:tc>
        <w:tc>
          <w:tcPr>
            <w:tcW w:w="36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61" w14:textId="77777777" w:rsidR="00340073" w:rsidRDefault="00000000">
            <w:r>
              <w:rPr>
                <w:color w:val="000000"/>
                <w:sz w:val="18"/>
                <w:szCs w:val="18"/>
              </w:rPr>
              <w:t>lista-ventas@empresa.com</w:t>
            </w:r>
          </w:p>
        </w:tc>
      </w:tr>
      <w:tr w:rsidR="00340073" w14:paraId="435FD866" w14:textId="77777777">
        <w:tblPrEx>
          <w:tblCellMar>
            <w:top w:w="0" w:type="dxa"/>
            <w:bottom w:w="0" w:type="dxa"/>
          </w:tblCellMar>
        </w:tblPrEx>
        <w:tc>
          <w:tcPr>
            <w:tcW w:w="24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63" w14:textId="77777777" w:rsidR="00340073" w:rsidRDefault="00000000">
            <w:r>
              <w:rPr>
                <w:color w:val="000000"/>
                <w:sz w:val="18"/>
                <w:szCs w:val="18"/>
              </w:rPr>
              <w:t>Buzón de soporte</w:t>
            </w:r>
          </w:p>
        </w:tc>
        <w:tc>
          <w:tcPr>
            <w:tcW w:w="336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64" w14:textId="77777777" w:rsidR="00340073" w:rsidRDefault="00000000">
            <w:r>
              <w:rPr>
                <w:color w:val="000000"/>
                <w:sz w:val="18"/>
                <w:szCs w:val="18"/>
              </w:rPr>
              <w:t>soporte@dominio.com helpdesk@dominio.com</w:t>
            </w:r>
          </w:p>
        </w:tc>
        <w:tc>
          <w:tcPr>
            <w:tcW w:w="36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65" w14:textId="77777777" w:rsidR="00340073" w:rsidRDefault="00000000">
            <w:r>
              <w:rPr>
                <w:color w:val="000000"/>
                <w:sz w:val="18"/>
                <w:szCs w:val="18"/>
              </w:rPr>
              <w:t>soporte@empresa.com</w:t>
            </w:r>
          </w:p>
        </w:tc>
      </w:tr>
      <w:tr w:rsidR="00340073" w14:paraId="435FD86A" w14:textId="77777777">
        <w:tblPrEx>
          <w:tblCellMar>
            <w:top w:w="0" w:type="dxa"/>
            <w:bottom w:w="0" w:type="dxa"/>
          </w:tblCellMar>
        </w:tblPrEx>
        <w:tc>
          <w:tcPr>
            <w:tcW w:w="24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67" w14:textId="77777777" w:rsidR="00340073" w:rsidRDefault="00000000">
            <w:r>
              <w:rPr>
                <w:color w:val="000000"/>
                <w:sz w:val="18"/>
                <w:szCs w:val="18"/>
              </w:rPr>
              <w:t>Cuenta de administrador</w:t>
            </w:r>
          </w:p>
        </w:tc>
        <w:tc>
          <w:tcPr>
            <w:tcW w:w="33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68" w14:textId="77777777" w:rsidR="00340073" w:rsidRDefault="00000000">
            <w:r>
              <w:rPr>
                <w:color w:val="000000"/>
                <w:sz w:val="18"/>
                <w:szCs w:val="18"/>
              </w:rPr>
              <w:t>[prefijo]admin@dominio.com</w:t>
            </w:r>
          </w:p>
        </w:tc>
        <w:tc>
          <w:tcPr>
            <w:tcW w:w="36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69" w14:textId="77777777" w:rsidR="00340073" w:rsidRDefault="00000000">
            <w:r>
              <w:rPr>
                <w:color w:val="000000"/>
                <w:sz w:val="18"/>
                <w:szCs w:val="18"/>
              </w:rPr>
              <w:t>365admin@empresa.com</w:t>
            </w:r>
          </w:p>
        </w:tc>
      </w:tr>
    </w:tbl>
    <w:p w14:paraId="435FD86B" w14:textId="77777777" w:rsidR="00340073" w:rsidRDefault="00340073">
      <w:pPr>
        <w:spacing w:after="120"/>
      </w:pPr>
    </w:p>
    <w:p w14:paraId="435FD86C" w14:textId="77777777" w:rsidR="00340073" w:rsidRDefault="00000000">
      <w:pPr>
        <w:pBdr>
          <w:left w:val="single" w:sz="18" w:space="0" w:color="185FA5"/>
        </w:pBdr>
        <w:shd w:val="clear" w:color="auto" w:fill="D6E4F0"/>
        <w:spacing w:before="120" w:after="120" w:line="276" w:lineRule="auto"/>
        <w:ind w:left="360"/>
        <w:jc w:val="both"/>
      </w:pPr>
      <w:r>
        <w:rPr>
          <w:b/>
          <w:bCs/>
          <w:i/>
          <w:iCs/>
          <w:color w:val="185FA5"/>
        </w:rPr>
        <w:t xml:space="preserve">Nota: </w:t>
      </w:r>
      <w:r>
        <w:rPr>
          <w:i/>
          <w:iCs/>
          <w:color w:val="000000"/>
        </w:rPr>
        <w:t xml:space="preserve">El nombre de usuario "admin" no debe utilizarse como cuenta de administrador, ya que es el primero que cualquier atacante intentará comprometer mediante técnicas de fuerza bruta o </w:t>
      </w:r>
      <w:proofErr w:type="spellStart"/>
      <w:proofErr w:type="gramStart"/>
      <w:r>
        <w:rPr>
          <w:i/>
          <w:iCs/>
          <w:color w:val="000000"/>
        </w:rPr>
        <w:t>password</w:t>
      </w:r>
      <w:proofErr w:type="spellEnd"/>
      <w:proofErr w:type="gramEnd"/>
      <w:r>
        <w:rPr>
          <w:i/>
          <w:iCs/>
          <w:color w:val="000000"/>
        </w:rPr>
        <w:t xml:space="preserve"> </w:t>
      </w:r>
      <w:proofErr w:type="spellStart"/>
      <w:r>
        <w:rPr>
          <w:i/>
          <w:iCs/>
          <w:color w:val="000000"/>
        </w:rPr>
        <w:t>spraying</w:t>
      </w:r>
      <w:proofErr w:type="spellEnd"/>
      <w:r>
        <w:rPr>
          <w:i/>
          <w:iCs/>
          <w:color w:val="000000"/>
        </w:rPr>
        <w:t>.</w:t>
      </w:r>
    </w:p>
    <w:p w14:paraId="435FD86D" w14:textId="77777777" w:rsidR="00340073" w:rsidRDefault="00340073">
      <w:pPr>
        <w:spacing w:after="160"/>
      </w:pPr>
    </w:p>
    <w:p w14:paraId="435FD86E" w14:textId="77777777" w:rsidR="00340073" w:rsidRDefault="00000000">
      <w:pPr>
        <w:pBdr>
          <w:bottom w:val="single" w:sz="12" w:space="0" w:color="185FA5"/>
        </w:pBdr>
        <w:spacing w:before="280" w:after="120"/>
      </w:pPr>
      <w:r>
        <w:rPr>
          <w:rFonts w:ascii="Calibri" w:eastAsia="Calibri" w:hAnsi="Calibri" w:cs="Calibri"/>
          <w:b/>
          <w:bCs/>
          <w:color w:val="185FA5"/>
          <w:sz w:val="24"/>
          <w:szCs w:val="24"/>
        </w:rPr>
        <w:t>5. Proceso de Creación de Buzones</w:t>
      </w:r>
    </w:p>
    <w:p w14:paraId="435FD86F" w14:textId="77777777" w:rsidR="00340073" w:rsidRDefault="00000000">
      <w:pPr>
        <w:spacing w:after="120" w:line="276" w:lineRule="auto"/>
        <w:jc w:val="both"/>
      </w:pPr>
      <w:r>
        <w:rPr>
          <w:color w:val="000000"/>
        </w:rPr>
        <w:t>La creación de un nuevo buzón debe seguir los pasos indicados a continuación. Ningún buzón debe ser creado sin haber completado los pasos 1 y 2.</w:t>
      </w:r>
    </w:p>
    <w:p w14:paraId="435FD870" w14:textId="77777777" w:rsidR="00340073" w:rsidRDefault="00340073">
      <w:pPr>
        <w:spacing w:after="80"/>
      </w:pPr>
    </w:p>
    <w:p w14:paraId="435FD871" w14:textId="77777777" w:rsidR="00340073" w:rsidRDefault="00000000">
      <w:pPr>
        <w:spacing w:before="120" w:after="60" w:line="276" w:lineRule="auto"/>
        <w:ind w:left="440" w:hanging="440"/>
        <w:jc w:val="both"/>
      </w:pPr>
      <w:r>
        <w:rPr>
          <w:rFonts w:ascii="Calibri" w:eastAsia="Calibri" w:hAnsi="Calibri" w:cs="Calibri"/>
          <w:b/>
          <w:bCs/>
          <w:color w:val="185FA5"/>
        </w:rPr>
        <w:t xml:space="preserve">1.  </w:t>
      </w:r>
      <w:r>
        <w:rPr>
          <w:rFonts w:ascii="Calibri" w:eastAsia="Calibri" w:hAnsi="Calibri" w:cs="Calibri"/>
          <w:b/>
          <w:bCs/>
          <w:color w:val="000000"/>
        </w:rPr>
        <w:t>Recepción de la solicitud</w:t>
      </w:r>
    </w:p>
    <w:p w14:paraId="435FD872" w14:textId="77777777" w:rsidR="00340073" w:rsidRDefault="00000000">
      <w:pPr>
        <w:spacing w:after="120" w:line="276" w:lineRule="auto"/>
        <w:ind w:left="720"/>
        <w:jc w:val="both"/>
      </w:pPr>
      <w:r>
        <w:rPr>
          <w:color w:val="000000"/>
        </w:rPr>
        <w:t xml:space="preserve">El responsable de área o Recursos Humanos envía una solicitud formal al equipo de TI a través del sistema de </w:t>
      </w:r>
      <w:proofErr w:type="gramStart"/>
      <w:r>
        <w:rPr>
          <w:color w:val="000000"/>
        </w:rPr>
        <w:t>tickets</w:t>
      </w:r>
      <w:proofErr w:type="gramEnd"/>
      <w:r>
        <w:rPr>
          <w:color w:val="000000"/>
        </w:rPr>
        <w:t xml:space="preserve"> (ITSM). La solicitud debe incluir: nombre completo del titular o propósito funcional del buzón, área a la que pertenece, fecha de inicio requerida, tipo de licencia necesaria (básica, estándar, avanzada), y — para buzones compartidos — nombre del propietario designado.</w:t>
      </w:r>
    </w:p>
    <w:p w14:paraId="435FD873" w14:textId="77777777" w:rsidR="00340073" w:rsidRDefault="00000000">
      <w:pPr>
        <w:spacing w:before="120" w:after="60" w:line="276" w:lineRule="auto"/>
        <w:ind w:left="440" w:hanging="440"/>
        <w:jc w:val="both"/>
      </w:pPr>
      <w:r>
        <w:rPr>
          <w:rFonts w:ascii="Calibri" w:eastAsia="Calibri" w:hAnsi="Calibri" w:cs="Calibri"/>
          <w:b/>
          <w:bCs/>
          <w:color w:val="185FA5"/>
        </w:rPr>
        <w:t xml:space="preserve">2.  </w:t>
      </w:r>
      <w:r>
        <w:rPr>
          <w:rFonts w:ascii="Calibri" w:eastAsia="Calibri" w:hAnsi="Calibri" w:cs="Calibri"/>
          <w:b/>
          <w:bCs/>
          <w:color w:val="000000"/>
        </w:rPr>
        <w:t>Validación de la solicitud</w:t>
      </w:r>
    </w:p>
    <w:p w14:paraId="435FD874" w14:textId="77777777" w:rsidR="00340073" w:rsidRDefault="00000000">
      <w:pPr>
        <w:spacing w:after="120" w:line="276" w:lineRule="auto"/>
        <w:ind w:left="720"/>
        <w:jc w:val="both"/>
      </w:pPr>
      <w:r>
        <w:rPr>
          <w:color w:val="000000"/>
        </w:rPr>
        <w:t>El administrador de TI verifica que la solicitud está completa, que la licencia requerida está disponible y que el nombre de buzón solicitado cumple con el estándar de nomenclatura. Si la solicitud está incompleta o el nombre no es compatible con el estándar, se devuelve al solicitante con las observaciones correspondientes antes de proceder.</w:t>
      </w:r>
    </w:p>
    <w:p w14:paraId="435FD875" w14:textId="77777777" w:rsidR="00340073" w:rsidRDefault="00000000">
      <w:pPr>
        <w:spacing w:before="120" w:after="60" w:line="276" w:lineRule="auto"/>
        <w:ind w:left="440" w:hanging="440"/>
        <w:jc w:val="both"/>
      </w:pPr>
      <w:r>
        <w:rPr>
          <w:rFonts w:ascii="Calibri" w:eastAsia="Calibri" w:hAnsi="Calibri" w:cs="Calibri"/>
          <w:b/>
          <w:bCs/>
          <w:color w:val="185FA5"/>
        </w:rPr>
        <w:t xml:space="preserve">3.  </w:t>
      </w:r>
      <w:r>
        <w:rPr>
          <w:rFonts w:ascii="Calibri" w:eastAsia="Calibri" w:hAnsi="Calibri" w:cs="Calibri"/>
          <w:b/>
          <w:bCs/>
          <w:color w:val="000000"/>
        </w:rPr>
        <w:t>Creación del buzón en la consola de administración</w:t>
      </w:r>
    </w:p>
    <w:p w14:paraId="435FD876" w14:textId="77777777" w:rsidR="00340073" w:rsidRDefault="00000000">
      <w:pPr>
        <w:spacing w:after="120" w:line="276" w:lineRule="auto"/>
        <w:ind w:left="720"/>
        <w:jc w:val="both"/>
      </w:pPr>
      <w:r>
        <w:rPr>
          <w:color w:val="000000"/>
        </w:rPr>
        <w:t xml:space="preserve">El administrador crea el buzón en la plataforma de correo, asignando el nombre, el tipo de licencia y los grupos de seguridad correspondientes al rol del usuario. Para buzones individuales, la contraseña inicial </w:t>
      </w:r>
      <w:r>
        <w:rPr>
          <w:color w:val="000000"/>
        </w:rPr>
        <w:lastRenderedPageBreak/>
        <w:t>debe generarse de forma aleatoria con una longitud mínima de 16 caracteres y nunca comunicarse por correo electrónico.</w:t>
      </w:r>
    </w:p>
    <w:p w14:paraId="435FD877" w14:textId="77777777" w:rsidR="00340073" w:rsidRDefault="00000000">
      <w:pPr>
        <w:spacing w:before="120" w:after="60" w:line="276" w:lineRule="auto"/>
        <w:ind w:left="440" w:hanging="440"/>
        <w:jc w:val="both"/>
      </w:pPr>
      <w:r>
        <w:rPr>
          <w:rFonts w:ascii="Calibri" w:eastAsia="Calibri" w:hAnsi="Calibri" w:cs="Calibri"/>
          <w:b/>
          <w:bCs/>
          <w:color w:val="185FA5"/>
        </w:rPr>
        <w:t xml:space="preserve">4.  </w:t>
      </w:r>
      <w:r>
        <w:rPr>
          <w:rFonts w:ascii="Calibri" w:eastAsia="Calibri" w:hAnsi="Calibri" w:cs="Calibri"/>
          <w:b/>
          <w:bCs/>
          <w:color w:val="000000"/>
        </w:rPr>
        <w:t>Configuración de seguridad inicial</w:t>
      </w:r>
    </w:p>
    <w:p w14:paraId="435FD878" w14:textId="77777777" w:rsidR="00340073" w:rsidRDefault="00000000">
      <w:pPr>
        <w:spacing w:after="120" w:line="276" w:lineRule="auto"/>
        <w:ind w:left="720"/>
        <w:jc w:val="both"/>
      </w:pPr>
      <w:r>
        <w:rPr>
          <w:color w:val="000000"/>
        </w:rPr>
        <w:t xml:space="preserve">Una vez creado el buzón, el administrador aplica la configuración de seguridad mínima: habilitación del segundo factor de autenticación (MFA), bloqueo de reenvío automático a dominios externos, asignación a las políticas de seguridad predefinidas del </w:t>
      </w:r>
      <w:proofErr w:type="spellStart"/>
      <w:r>
        <w:rPr>
          <w:color w:val="000000"/>
        </w:rPr>
        <w:t>tenant</w:t>
      </w:r>
      <w:proofErr w:type="spellEnd"/>
      <w:r>
        <w:rPr>
          <w:color w:val="000000"/>
        </w:rPr>
        <w:t>, y — para buzones ejecutivos o de alto impacto — activación de la firma digital si está disponible en la plataforma.</w:t>
      </w:r>
    </w:p>
    <w:p w14:paraId="435FD879" w14:textId="77777777" w:rsidR="00340073" w:rsidRDefault="00000000">
      <w:pPr>
        <w:spacing w:before="120" w:after="60" w:line="276" w:lineRule="auto"/>
        <w:ind w:left="440" w:hanging="440"/>
        <w:jc w:val="both"/>
      </w:pPr>
      <w:r>
        <w:rPr>
          <w:rFonts w:ascii="Calibri" w:eastAsia="Calibri" w:hAnsi="Calibri" w:cs="Calibri"/>
          <w:b/>
          <w:bCs/>
          <w:color w:val="185FA5"/>
        </w:rPr>
        <w:t xml:space="preserve">5.  </w:t>
      </w:r>
      <w:r>
        <w:rPr>
          <w:rFonts w:ascii="Calibri" w:eastAsia="Calibri" w:hAnsi="Calibri" w:cs="Calibri"/>
          <w:b/>
          <w:bCs/>
          <w:color w:val="000000"/>
        </w:rPr>
        <w:t>Entrega de credenciales al usuario</w:t>
      </w:r>
    </w:p>
    <w:p w14:paraId="435FD87A" w14:textId="77777777" w:rsidR="00340073" w:rsidRDefault="00000000">
      <w:pPr>
        <w:spacing w:after="120" w:line="276" w:lineRule="auto"/>
        <w:ind w:left="720"/>
        <w:jc w:val="both"/>
      </w:pPr>
      <w:r>
        <w:rPr>
          <w:color w:val="000000"/>
        </w:rPr>
        <w:t xml:space="preserve">Las credenciales de acceso se entregan al usuario de forma segura: en persona o mediante una llamada telefónica para la contraseña temporal, nunca por correo electrónico ni por mensajería instantánea. El usuario debe cambiar la contraseña en su primer inicio de sesión. El administrador verifica que el cambio se ha completado antes de cerrar el </w:t>
      </w:r>
      <w:proofErr w:type="gramStart"/>
      <w:r>
        <w:rPr>
          <w:color w:val="000000"/>
        </w:rPr>
        <w:t>ticket</w:t>
      </w:r>
      <w:proofErr w:type="gramEnd"/>
      <w:r>
        <w:rPr>
          <w:color w:val="000000"/>
        </w:rPr>
        <w:t>.</w:t>
      </w:r>
    </w:p>
    <w:p w14:paraId="435FD87B" w14:textId="77777777" w:rsidR="00340073" w:rsidRDefault="00000000">
      <w:pPr>
        <w:spacing w:before="120" w:after="60" w:line="276" w:lineRule="auto"/>
        <w:ind w:left="440" w:hanging="440"/>
        <w:jc w:val="both"/>
      </w:pPr>
      <w:r>
        <w:rPr>
          <w:rFonts w:ascii="Calibri" w:eastAsia="Calibri" w:hAnsi="Calibri" w:cs="Calibri"/>
          <w:b/>
          <w:bCs/>
          <w:color w:val="185FA5"/>
        </w:rPr>
        <w:t xml:space="preserve">6.  </w:t>
      </w:r>
      <w:r>
        <w:rPr>
          <w:rFonts w:ascii="Calibri" w:eastAsia="Calibri" w:hAnsi="Calibri" w:cs="Calibri"/>
          <w:b/>
          <w:bCs/>
          <w:color w:val="000000"/>
        </w:rPr>
        <w:t xml:space="preserve">Registro y cierre del </w:t>
      </w:r>
      <w:proofErr w:type="gramStart"/>
      <w:r>
        <w:rPr>
          <w:rFonts w:ascii="Calibri" w:eastAsia="Calibri" w:hAnsi="Calibri" w:cs="Calibri"/>
          <w:b/>
          <w:bCs/>
          <w:color w:val="000000"/>
        </w:rPr>
        <w:t>ticket</w:t>
      </w:r>
      <w:proofErr w:type="gramEnd"/>
    </w:p>
    <w:p w14:paraId="435FD87C" w14:textId="77777777" w:rsidR="00340073" w:rsidRDefault="00000000">
      <w:pPr>
        <w:spacing w:after="120" w:line="276" w:lineRule="auto"/>
        <w:ind w:left="720"/>
        <w:jc w:val="both"/>
      </w:pPr>
      <w:r>
        <w:rPr>
          <w:color w:val="000000"/>
        </w:rPr>
        <w:t xml:space="preserve">El administrador registra en el </w:t>
      </w:r>
      <w:proofErr w:type="gramStart"/>
      <w:r>
        <w:rPr>
          <w:color w:val="000000"/>
        </w:rPr>
        <w:t>ticket</w:t>
      </w:r>
      <w:proofErr w:type="gramEnd"/>
      <w:r>
        <w:rPr>
          <w:color w:val="000000"/>
        </w:rPr>
        <w:t xml:space="preserve">: fecha y hora de creación, nombre exacto del buzón, tipo de licencia asignada, grupos de seguridad, y confirmación de la configuración de seguridad inicial. El </w:t>
      </w:r>
      <w:proofErr w:type="gramStart"/>
      <w:r>
        <w:rPr>
          <w:color w:val="000000"/>
        </w:rPr>
        <w:t>ticket</w:t>
      </w:r>
      <w:proofErr w:type="gramEnd"/>
      <w:r>
        <w:rPr>
          <w:color w:val="000000"/>
        </w:rPr>
        <w:t xml:space="preserve"> se cierra únicamente una vez verificado el acceso exitoso del usuario.</w:t>
      </w:r>
    </w:p>
    <w:p w14:paraId="435FD87D" w14:textId="77777777" w:rsidR="00340073" w:rsidRDefault="00000000">
      <w:pPr>
        <w:pBdr>
          <w:left w:val="single" w:sz="18" w:space="0" w:color="3B6D11"/>
        </w:pBdr>
        <w:shd w:val="clear" w:color="auto" w:fill="EAF2E3"/>
        <w:spacing w:before="120" w:after="120" w:line="276" w:lineRule="auto"/>
        <w:ind w:left="360"/>
        <w:jc w:val="both"/>
      </w:pPr>
      <w:r>
        <w:rPr>
          <w:b/>
          <w:bCs/>
          <w:i/>
          <w:iCs/>
          <w:color w:val="3B6D11"/>
        </w:rPr>
        <w:t xml:space="preserve">✓ Buena práctica: </w:t>
      </w:r>
      <w:r>
        <w:rPr>
          <w:i/>
          <w:iCs/>
          <w:color w:val="000000"/>
        </w:rPr>
        <w:t>Para incorporaciones planificadas, Recursos Humanos debe notificar al equipo de TI con al menos 48 horas de anticipación para garantizar que el buzón esté disponible en la fecha de inicio del colaborador.</w:t>
      </w:r>
    </w:p>
    <w:p w14:paraId="435FD87E" w14:textId="77777777" w:rsidR="00340073" w:rsidRDefault="00340073">
      <w:pPr>
        <w:spacing w:after="160"/>
      </w:pPr>
    </w:p>
    <w:p w14:paraId="435FD87F" w14:textId="77777777" w:rsidR="00340073" w:rsidRDefault="00000000">
      <w:pPr>
        <w:pBdr>
          <w:bottom w:val="single" w:sz="12" w:space="0" w:color="185FA5"/>
        </w:pBdr>
        <w:spacing w:before="280" w:after="120"/>
      </w:pPr>
      <w:r>
        <w:rPr>
          <w:rFonts w:ascii="Calibri" w:eastAsia="Calibri" w:hAnsi="Calibri" w:cs="Calibri"/>
          <w:b/>
          <w:bCs/>
          <w:color w:val="185FA5"/>
          <w:sz w:val="24"/>
          <w:szCs w:val="24"/>
        </w:rPr>
        <w:t>6. Proceso de Modificación de Buzones</w:t>
      </w:r>
    </w:p>
    <w:p w14:paraId="435FD880" w14:textId="77777777" w:rsidR="00340073" w:rsidRDefault="00000000">
      <w:pPr>
        <w:spacing w:after="120" w:line="276" w:lineRule="auto"/>
        <w:jc w:val="both"/>
      </w:pPr>
      <w:r>
        <w:rPr>
          <w:color w:val="000000"/>
        </w:rPr>
        <w:t>Se considera modificación cualquier cambio sobre un buzón existente: cambio de nombre o alias, cambio de licencia, adición o remoción de grupos de seguridad, cambio de propietario en buzones compartidos, o habilitación de funcionalidades adicionales. Toda modificación debe seguir el proceso indicado:</w:t>
      </w:r>
    </w:p>
    <w:p w14:paraId="435FD881" w14:textId="77777777" w:rsidR="00340073" w:rsidRDefault="00340073">
      <w:pPr>
        <w:spacing w:after="80"/>
      </w:pPr>
    </w:p>
    <w:p w14:paraId="435FD882" w14:textId="77777777" w:rsidR="00340073" w:rsidRDefault="00000000">
      <w:pPr>
        <w:spacing w:before="120" w:after="60" w:line="276" w:lineRule="auto"/>
        <w:ind w:left="440" w:hanging="440"/>
        <w:jc w:val="both"/>
      </w:pPr>
      <w:r>
        <w:rPr>
          <w:rFonts w:ascii="Calibri" w:eastAsia="Calibri" w:hAnsi="Calibri" w:cs="Calibri"/>
          <w:b/>
          <w:bCs/>
          <w:color w:val="185FA5"/>
        </w:rPr>
        <w:t xml:space="preserve">1.  </w:t>
      </w:r>
      <w:r>
        <w:rPr>
          <w:rFonts w:ascii="Calibri" w:eastAsia="Calibri" w:hAnsi="Calibri" w:cs="Calibri"/>
          <w:b/>
          <w:bCs/>
          <w:color w:val="000000"/>
        </w:rPr>
        <w:t>Solicitud documentada</w:t>
      </w:r>
    </w:p>
    <w:p w14:paraId="435FD883" w14:textId="77777777" w:rsidR="00340073" w:rsidRDefault="00000000">
      <w:pPr>
        <w:spacing w:after="120" w:line="276" w:lineRule="auto"/>
        <w:ind w:left="720"/>
        <w:jc w:val="both"/>
      </w:pPr>
      <w:r>
        <w:rPr>
          <w:color w:val="000000"/>
        </w:rPr>
        <w:t xml:space="preserve">El responsable de área envía una solicitud al equipo de TI a través del sistema de </w:t>
      </w:r>
      <w:proofErr w:type="gramStart"/>
      <w:r>
        <w:rPr>
          <w:color w:val="000000"/>
        </w:rPr>
        <w:t>tickets</w:t>
      </w:r>
      <w:proofErr w:type="gramEnd"/>
      <w:r>
        <w:rPr>
          <w:color w:val="000000"/>
        </w:rPr>
        <w:t>, indicando el buzón afectado, el cambio solicitado y la justificación operativa. No se aceptan solicitudes verbales o por correo electrónico directo para cambios que afecten permisos o licencias.</w:t>
      </w:r>
    </w:p>
    <w:p w14:paraId="435FD884" w14:textId="77777777" w:rsidR="00340073" w:rsidRDefault="00000000">
      <w:pPr>
        <w:spacing w:before="120" w:after="60" w:line="276" w:lineRule="auto"/>
        <w:ind w:left="440" w:hanging="440"/>
        <w:jc w:val="both"/>
      </w:pPr>
      <w:r>
        <w:rPr>
          <w:rFonts w:ascii="Calibri" w:eastAsia="Calibri" w:hAnsi="Calibri" w:cs="Calibri"/>
          <w:b/>
          <w:bCs/>
          <w:color w:val="185FA5"/>
        </w:rPr>
        <w:t xml:space="preserve">2.  </w:t>
      </w:r>
      <w:r>
        <w:rPr>
          <w:rFonts w:ascii="Calibri" w:eastAsia="Calibri" w:hAnsi="Calibri" w:cs="Calibri"/>
          <w:b/>
          <w:bCs/>
          <w:color w:val="000000"/>
        </w:rPr>
        <w:t>Evaluación del impacto</w:t>
      </w:r>
    </w:p>
    <w:p w14:paraId="435FD885" w14:textId="77777777" w:rsidR="00340073" w:rsidRDefault="00000000">
      <w:pPr>
        <w:spacing w:after="120" w:line="276" w:lineRule="auto"/>
        <w:ind w:left="720"/>
        <w:jc w:val="both"/>
      </w:pPr>
      <w:r>
        <w:rPr>
          <w:color w:val="000000"/>
        </w:rPr>
        <w:t>El administrador evalúa si el cambio solicitado puede afectar otros sistemas integrados con el buzón (SSO, listas de distribución, reglas de flujo de correo, firmas digitales). Si el cambio tiene impacto en otros usuarios o servicios, debe notificarse a los afectados antes de ejecutarlo.</w:t>
      </w:r>
    </w:p>
    <w:p w14:paraId="435FD886" w14:textId="77777777" w:rsidR="00340073" w:rsidRDefault="00000000">
      <w:pPr>
        <w:spacing w:before="120" w:after="60" w:line="276" w:lineRule="auto"/>
        <w:ind w:left="440" w:hanging="440"/>
        <w:jc w:val="both"/>
      </w:pPr>
      <w:r>
        <w:rPr>
          <w:rFonts w:ascii="Calibri" w:eastAsia="Calibri" w:hAnsi="Calibri" w:cs="Calibri"/>
          <w:b/>
          <w:bCs/>
          <w:color w:val="185FA5"/>
        </w:rPr>
        <w:t xml:space="preserve">3.  </w:t>
      </w:r>
      <w:r>
        <w:rPr>
          <w:rFonts w:ascii="Calibri" w:eastAsia="Calibri" w:hAnsi="Calibri" w:cs="Calibri"/>
          <w:b/>
          <w:bCs/>
          <w:color w:val="000000"/>
        </w:rPr>
        <w:t>Ejecución del cambio</w:t>
      </w:r>
    </w:p>
    <w:p w14:paraId="435FD887" w14:textId="77777777" w:rsidR="00340073" w:rsidRDefault="00000000">
      <w:pPr>
        <w:spacing w:after="120" w:line="276" w:lineRule="auto"/>
        <w:ind w:left="720"/>
        <w:jc w:val="both"/>
      </w:pPr>
      <w:r>
        <w:rPr>
          <w:color w:val="000000"/>
        </w:rPr>
        <w:t>El administrador aplica el cambio en la consola de administración fuera del horario de mayor actividad cuando sea posible, especialmente si el cambio puede interrumpir temporalmente el acceso del usuario al buzón.</w:t>
      </w:r>
    </w:p>
    <w:p w14:paraId="435FD888" w14:textId="77777777" w:rsidR="00340073" w:rsidRDefault="00000000">
      <w:pPr>
        <w:spacing w:before="120" w:after="60" w:line="276" w:lineRule="auto"/>
        <w:ind w:left="440" w:hanging="440"/>
        <w:jc w:val="both"/>
      </w:pPr>
      <w:r>
        <w:rPr>
          <w:rFonts w:ascii="Calibri" w:eastAsia="Calibri" w:hAnsi="Calibri" w:cs="Calibri"/>
          <w:b/>
          <w:bCs/>
          <w:color w:val="185FA5"/>
        </w:rPr>
        <w:t xml:space="preserve">4.  </w:t>
      </w:r>
      <w:r>
        <w:rPr>
          <w:rFonts w:ascii="Calibri" w:eastAsia="Calibri" w:hAnsi="Calibri" w:cs="Calibri"/>
          <w:b/>
          <w:bCs/>
          <w:color w:val="000000"/>
        </w:rPr>
        <w:t>Verificación y cierre</w:t>
      </w:r>
    </w:p>
    <w:p w14:paraId="435FD889" w14:textId="77777777" w:rsidR="00340073" w:rsidRDefault="00000000">
      <w:pPr>
        <w:spacing w:after="120" w:line="276" w:lineRule="auto"/>
        <w:ind w:left="720"/>
        <w:jc w:val="both"/>
      </w:pPr>
      <w:r>
        <w:rPr>
          <w:color w:val="000000"/>
        </w:rPr>
        <w:t xml:space="preserve">El administrador verifica que el cambio se ha aplicado correctamente y que el buzón sigue funcionando según lo esperado. El </w:t>
      </w:r>
      <w:proofErr w:type="gramStart"/>
      <w:r>
        <w:rPr>
          <w:color w:val="000000"/>
        </w:rPr>
        <w:t>ticket</w:t>
      </w:r>
      <w:proofErr w:type="gramEnd"/>
      <w:r>
        <w:rPr>
          <w:color w:val="000000"/>
        </w:rPr>
        <w:t xml:space="preserve"> se cierra con el detalle del cambio ejecutado, fecha y resultado de la verificación.</w:t>
      </w:r>
    </w:p>
    <w:p w14:paraId="435FD88A" w14:textId="77777777" w:rsidR="00340073" w:rsidRDefault="00340073">
      <w:pPr>
        <w:spacing w:after="160"/>
      </w:pPr>
    </w:p>
    <w:p w14:paraId="435FD88B" w14:textId="77777777" w:rsidR="00340073" w:rsidRDefault="00000000">
      <w:pPr>
        <w:pBdr>
          <w:bottom w:val="single" w:sz="12" w:space="0" w:color="185FA5"/>
        </w:pBdr>
        <w:spacing w:before="280" w:after="120"/>
      </w:pPr>
      <w:r>
        <w:rPr>
          <w:rFonts w:ascii="Calibri" w:eastAsia="Calibri" w:hAnsi="Calibri" w:cs="Calibri"/>
          <w:b/>
          <w:bCs/>
          <w:color w:val="185FA5"/>
          <w:sz w:val="24"/>
          <w:szCs w:val="24"/>
        </w:rPr>
        <w:lastRenderedPageBreak/>
        <w:t>7. Proceso de Desactivación de Buzones</w:t>
      </w:r>
    </w:p>
    <w:p w14:paraId="435FD88C" w14:textId="77777777" w:rsidR="00340073" w:rsidRDefault="00000000">
      <w:pPr>
        <w:spacing w:after="120" w:line="276" w:lineRule="auto"/>
        <w:jc w:val="both"/>
      </w:pPr>
      <w:r>
        <w:rPr>
          <w:color w:val="000000"/>
        </w:rPr>
        <w:t>La desactivación de un buzón debe ejecutarse dentro de las primeras 24 horas siguientes a la fecha efectiva de desvinculación del colaborador, o a la fecha en que cese la necesidad operativa del buzón funcional. La desactivación no elimina el buzón ni su contenido: lo hace inaccesible para el usuario y lo deja disponible para revisión por parte del equipo de TI y del responsable del área.</w:t>
      </w:r>
    </w:p>
    <w:p w14:paraId="435FD88D" w14:textId="77777777" w:rsidR="00340073" w:rsidRDefault="00340073">
      <w:pPr>
        <w:spacing w:after="80"/>
      </w:pPr>
    </w:p>
    <w:p w14:paraId="435FD88E" w14:textId="77777777" w:rsidR="00340073" w:rsidRDefault="00000000">
      <w:pPr>
        <w:spacing w:before="120" w:after="60" w:line="276" w:lineRule="auto"/>
        <w:ind w:left="440" w:hanging="440"/>
        <w:jc w:val="both"/>
      </w:pPr>
      <w:r>
        <w:rPr>
          <w:rFonts w:ascii="Calibri" w:eastAsia="Calibri" w:hAnsi="Calibri" w:cs="Calibri"/>
          <w:b/>
          <w:bCs/>
          <w:color w:val="185FA5"/>
        </w:rPr>
        <w:t xml:space="preserve">1.  </w:t>
      </w:r>
      <w:r>
        <w:rPr>
          <w:rFonts w:ascii="Calibri" w:eastAsia="Calibri" w:hAnsi="Calibri" w:cs="Calibri"/>
          <w:b/>
          <w:bCs/>
          <w:color w:val="000000"/>
        </w:rPr>
        <w:t>Recepción de la notificación de baja</w:t>
      </w:r>
    </w:p>
    <w:p w14:paraId="435FD88F" w14:textId="77777777" w:rsidR="00340073" w:rsidRDefault="00000000">
      <w:pPr>
        <w:spacing w:after="120" w:line="276" w:lineRule="auto"/>
        <w:ind w:left="720"/>
        <w:jc w:val="both"/>
      </w:pPr>
      <w:r>
        <w:rPr>
          <w:color w:val="000000"/>
        </w:rPr>
        <w:t>Recursos Humanos notifica al equipo de TI la desvinculación del colaborador con al menos 24 horas de anticipación, indicando la fecha efectiva de salida y si existe necesidad de acceso temporal al contenido del buzón por parte del responsable del área.</w:t>
      </w:r>
    </w:p>
    <w:p w14:paraId="435FD890" w14:textId="77777777" w:rsidR="00340073" w:rsidRDefault="00000000">
      <w:pPr>
        <w:spacing w:before="120" w:after="60" w:line="276" w:lineRule="auto"/>
        <w:ind w:left="440" w:hanging="440"/>
        <w:jc w:val="both"/>
      </w:pPr>
      <w:r>
        <w:rPr>
          <w:rFonts w:ascii="Calibri" w:eastAsia="Calibri" w:hAnsi="Calibri" w:cs="Calibri"/>
          <w:b/>
          <w:bCs/>
          <w:color w:val="185FA5"/>
        </w:rPr>
        <w:t xml:space="preserve">2.  </w:t>
      </w:r>
      <w:r>
        <w:rPr>
          <w:rFonts w:ascii="Calibri" w:eastAsia="Calibri" w:hAnsi="Calibri" w:cs="Calibri"/>
          <w:b/>
          <w:bCs/>
          <w:color w:val="000000"/>
        </w:rPr>
        <w:t>Revocación del acceso</w:t>
      </w:r>
    </w:p>
    <w:p w14:paraId="435FD891" w14:textId="77777777" w:rsidR="00340073" w:rsidRDefault="00000000">
      <w:pPr>
        <w:spacing w:after="120" w:line="276" w:lineRule="auto"/>
        <w:ind w:left="720"/>
        <w:jc w:val="both"/>
      </w:pPr>
      <w:r>
        <w:rPr>
          <w:color w:val="000000"/>
        </w:rPr>
        <w:t xml:space="preserve">En la fecha efectiva de desvinculación, el administrador revoca el acceso del usuario al buzón: desactiva la cuenta en el directorio corporativo, cierra todas las sesiones activas e invalida los tokens de acceso vigentes. Esta acción debe ejecutarse de forma coordinada con el proceso de </w:t>
      </w:r>
      <w:proofErr w:type="spellStart"/>
      <w:r>
        <w:rPr>
          <w:color w:val="000000"/>
        </w:rPr>
        <w:t>offboarding</w:t>
      </w:r>
      <w:proofErr w:type="spellEnd"/>
      <w:r>
        <w:rPr>
          <w:color w:val="000000"/>
        </w:rPr>
        <w:t xml:space="preserve"> del capítulo Identidades, que cubre la revocación de accesos a todos los demás sistemas.</w:t>
      </w:r>
    </w:p>
    <w:p w14:paraId="435FD892" w14:textId="77777777" w:rsidR="00340073" w:rsidRDefault="00000000">
      <w:pPr>
        <w:spacing w:before="120" w:after="60" w:line="276" w:lineRule="auto"/>
        <w:ind w:left="440" w:hanging="440"/>
        <w:jc w:val="both"/>
      </w:pPr>
      <w:r>
        <w:rPr>
          <w:rFonts w:ascii="Calibri" w:eastAsia="Calibri" w:hAnsi="Calibri" w:cs="Calibri"/>
          <w:b/>
          <w:bCs/>
          <w:color w:val="185FA5"/>
        </w:rPr>
        <w:t xml:space="preserve">3.  </w:t>
      </w:r>
      <w:r>
        <w:rPr>
          <w:rFonts w:ascii="Calibri" w:eastAsia="Calibri" w:hAnsi="Calibri" w:cs="Calibri"/>
          <w:b/>
          <w:bCs/>
          <w:color w:val="000000"/>
        </w:rPr>
        <w:t>Configuración del mensaje de ausencia</w:t>
      </w:r>
    </w:p>
    <w:p w14:paraId="435FD893" w14:textId="77777777" w:rsidR="00340073" w:rsidRDefault="00000000">
      <w:pPr>
        <w:spacing w:after="120" w:line="276" w:lineRule="auto"/>
        <w:ind w:left="720"/>
        <w:jc w:val="both"/>
      </w:pPr>
      <w:r>
        <w:rPr>
          <w:color w:val="000000"/>
        </w:rPr>
        <w:t>El administrador configura un mensaje de respuesta automática en el buzón desactivado, indicando que el usuario ya no forma parte de la organización y redirigiendo las comunicaciones al área o contacto correspondiente. La duración de este mensaje debe ser de al menos 30 días.</w:t>
      </w:r>
    </w:p>
    <w:p w14:paraId="435FD894" w14:textId="77777777" w:rsidR="00340073" w:rsidRDefault="00000000">
      <w:pPr>
        <w:spacing w:before="120" w:after="60" w:line="276" w:lineRule="auto"/>
        <w:ind w:left="440" w:hanging="440"/>
        <w:jc w:val="both"/>
      </w:pPr>
      <w:r>
        <w:rPr>
          <w:rFonts w:ascii="Calibri" w:eastAsia="Calibri" w:hAnsi="Calibri" w:cs="Calibri"/>
          <w:b/>
          <w:bCs/>
          <w:color w:val="185FA5"/>
        </w:rPr>
        <w:t xml:space="preserve">4.  </w:t>
      </w:r>
      <w:r>
        <w:rPr>
          <w:rFonts w:ascii="Calibri" w:eastAsia="Calibri" w:hAnsi="Calibri" w:cs="Calibri"/>
          <w:b/>
          <w:bCs/>
          <w:color w:val="000000"/>
        </w:rPr>
        <w:t>Habilitación de acceso temporal para el área (si aplica)</w:t>
      </w:r>
    </w:p>
    <w:p w14:paraId="435FD895" w14:textId="77777777" w:rsidR="00340073" w:rsidRDefault="00000000">
      <w:pPr>
        <w:spacing w:after="120" w:line="276" w:lineRule="auto"/>
        <w:ind w:left="720"/>
        <w:jc w:val="both"/>
      </w:pPr>
      <w:r>
        <w:rPr>
          <w:color w:val="000000"/>
        </w:rPr>
        <w:t xml:space="preserve">Si el responsable del área ha solicitado acceso temporal al contenido del buzón para efectos de continuidad operativa, el administrador habilita ese acceso con un período máximo de 30 días, documentando en el </w:t>
      </w:r>
      <w:proofErr w:type="gramStart"/>
      <w:r>
        <w:rPr>
          <w:color w:val="000000"/>
        </w:rPr>
        <w:t>ticket</w:t>
      </w:r>
      <w:proofErr w:type="gramEnd"/>
      <w:r>
        <w:rPr>
          <w:color w:val="000000"/>
        </w:rPr>
        <w:t xml:space="preserve"> el nombre del usuario autorizado, el motivo y la fecha de vencimiento del acceso temporal.</w:t>
      </w:r>
    </w:p>
    <w:p w14:paraId="435FD896" w14:textId="77777777" w:rsidR="00340073" w:rsidRDefault="00000000">
      <w:pPr>
        <w:spacing w:before="120" w:after="60" w:line="276" w:lineRule="auto"/>
        <w:ind w:left="440" w:hanging="440"/>
        <w:jc w:val="both"/>
      </w:pPr>
      <w:r>
        <w:rPr>
          <w:rFonts w:ascii="Calibri" w:eastAsia="Calibri" w:hAnsi="Calibri" w:cs="Calibri"/>
          <w:b/>
          <w:bCs/>
          <w:color w:val="185FA5"/>
        </w:rPr>
        <w:t xml:space="preserve">5.  </w:t>
      </w:r>
      <w:r>
        <w:rPr>
          <w:rFonts w:ascii="Calibri" w:eastAsia="Calibri" w:hAnsi="Calibri" w:cs="Calibri"/>
          <w:b/>
          <w:bCs/>
          <w:color w:val="000000"/>
        </w:rPr>
        <w:t>Archivo del contenido</w:t>
      </w:r>
    </w:p>
    <w:p w14:paraId="435FD897" w14:textId="77777777" w:rsidR="00340073" w:rsidRDefault="00000000">
      <w:pPr>
        <w:spacing w:after="120" w:line="276" w:lineRule="auto"/>
        <w:ind w:left="720"/>
        <w:jc w:val="both"/>
      </w:pPr>
      <w:r>
        <w:rPr>
          <w:color w:val="000000"/>
        </w:rPr>
        <w:t>Al vencimiento del período de acceso temporal — o de forma inmediata si no se solicitó acceso — el contenido del buzón se traslada al archivo histórico conforme a los períodos definidos en la Política de Retención de Mensajes (Plantilla 6.1, sección 7). El buzón queda en estado desactivado durante el período de retención en archivo.</w:t>
      </w:r>
    </w:p>
    <w:p w14:paraId="435FD898" w14:textId="77777777" w:rsidR="00340073" w:rsidRDefault="00000000">
      <w:pPr>
        <w:spacing w:before="120" w:after="60" w:line="276" w:lineRule="auto"/>
        <w:ind w:left="440" w:hanging="440"/>
        <w:jc w:val="both"/>
      </w:pPr>
      <w:r>
        <w:rPr>
          <w:rFonts w:ascii="Calibri" w:eastAsia="Calibri" w:hAnsi="Calibri" w:cs="Calibri"/>
          <w:b/>
          <w:bCs/>
          <w:color w:val="185FA5"/>
        </w:rPr>
        <w:t xml:space="preserve">6.  </w:t>
      </w:r>
      <w:r>
        <w:rPr>
          <w:rFonts w:ascii="Calibri" w:eastAsia="Calibri" w:hAnsi="Calibri" w:cs="Calibri"/>
          <w:b/>
          <w:bCs/>
          <w:color w:val="000000"/>
        </w:rPr>
        <w:t>Liberación de la licencia</w:t>
      </w:r>
    </w:p>
    <w:p w14:paraId="435FD899" w14:textId="77777777" w:rsidR="00340073" w:rsidRDefault="00000000">
      <w:pPr>
        <w:spacing w:after="120" w:line="276" w:lineRule="auto"/>
        <w:ind w:left="720"/>
        <w:jc w:val="both"/>
      </w:pPr>
      <w:r>
        <w:rPr>
          <w:color w:val="000000"/>
        </w:rPr>
        <w:t xml:space="preserve">Una vez confirmado el archivo del contenido, el administrador libera la licencia asociada al buzón para que pueda ser reasignada. Registra en el </w:t>
      </w:r>
      <w:proofErr w:type="gramStart"/>
      <w:r>
        <w:rPr>
          <w:color w:val="000000"/>
        </w:rPr>
        <w:t>ticket</w:t>
      </w:r>
      <w:proofErr w:type="gramEnd"/>
      <w:r>
        <w:rPr>
          <w:color w:val="000000"/>
        </w:rPr>
        <w:t xml:space="preserve"> la fecha de liberación y el tipo de licencia devuelta al pool disponible.</w:t>
      </w:r>
    </w:p>
    <w:p w14:paraId="435FD89A" w14:textId="77777777" w:rsidR="00340073" w:rsidRDefault="00000000">
      <w:pPr>
        <w:spacing w:before="120" w:after="60" w:line="276" w:lineRule="auto"/>
        <w:ind w:left="440" w:hanging="440"/>
        <w:jc w:val="both"/>
      </w:pPr>
      <w:r>
        <w:rPr>
          <w:rFonts w:ascii="Calibri" w:eastAsia="Calibri" w:hAnsi="Calibri" w:cs="Calibri"/>
          <w:b/>
          <w:bCs/>
          <w:color w:val="185FA5"/>
        </w:rPr>
        <w:t xml:space="preserve">7.  </w:t>
      </w:r>
      <w:r>
        <w:rPr>
          <w:rFonts w:ascii="Calibri" w:eastAsia="Calibri" w:hAnsi="Calibri" w:cs="Calibri"/>
          <w:b/>
          <w:bCs/>
          <w:color w:val="000000"/>
        </w:rPr>
        <w:t>Registro y cierre</w:t>
      </w:r>
    </w:p>
    <w:p w14:paraId="435FD89B" w14:textId="77777777" w:rsidR="00340073" w:rsidRDefault="00000000">
      <w:pPr>
        <w:spacing w:after="120" w:line="276" w:lineRule="auto"/>
        <w:ind w:left="720"/>
        <w:jc w:val="both"/>
      </w:pPr>
      <w:r>
        <w:rPr>
          <w:color w:val="000000"/>
        </w:rPr>
        <w:t xml:space="preserve">El </w:t>
      </w:r>
      <w:proofErr w:type="gramStart"/>
      <w:r>
        <w:rPr>
          <w:color w:val="000000"/>
        </w:rPr>
        <w:t>ticket</w:t>
      </w:r>
      <w:proofErr w:type="gramEnd"/>
      <w:r>
        <w:rPr>
          <w:color w:val="000000"/>
        </w:rPr>
        <w:t xml:space="preserve"> se cierra con el detalle de todas las acciones ejecutadas: fecha y hora de revocación de acceso, configuración del mensaje de ausencia, acceso temporal otorgado (si aplica), fecha de archivo del contenido y liberación de licencia.</w:t>
      </w:r>
    </w:p>
    <w:p w14:paraId="435FD89C" w14:textId="77777777" w:rsidR="00340073" w:rsidRDefault="00000000">
      <w:pPr>
        <w:pBdr>
          <w:left w:val="single" w:sz="18" w:space="0" w:color="BA7517"/>
        </w:pBdr>
        <w:shd w:val="clear" w:color="auto" w:fill="FDF3E3"/>
        <w:spacing w:before="120" w:after="120" w:line="276" w:lineRule="auto"/>
        <w:ind w:left="360"/>
        <w:jc w:val="both"/>
      </w:pPr>
      <w:r>
        <w:rPr>
          <w:b/>
          <w:bCs/>
          <w:i/>
          <w:iCs/>
          <w:color w:val="BA7517"/>
        </w:rPr>
        <w:t xml:space="preserve">⚠ Atención: </w:t>
      </w:r>
      <w:r>
        <w:rPr>
          <w:i/>
          <w:iCs/>
          <w:color w:val="000000"/>
        </w:rPr>
        <w:t xml:space="preserve">La desactivación del buzón debe ejecutarse de forma simultánea con la revocación de accesos en todos los demás sistemas corporativos. Un buzón </w:t>
      </w:r>
      <w:proofErr w:type="gramStart"/>
      <w:r>
        <w:rPr>
          <w:i/>
          <w:iCs/>
          <w:color w:val="000000"/>
        </w:rPr>
        <w:t>desactivado</w:t>
      </w:r>
      <w:proofErr w:type="gramEnd"/>
      <w:r>
        <w:rPr>
          <w:i/>
          <w:iCs/>
          <w:color w:val="000000"/>
        </w:rPr>
        <w:t xml:space="preserve"> pero con sesiones activas en otros sistemas vinculados puede seguir siendo accesible a través de tokens de autenticación vigentes.</w:t>
      </w:r>
    </w:p>
    <w:p w14:paraId="435FD89D" w14:textId="77777777" w:rsidR="00340073" w:rsidRDefault="00340073">
      <w:pPr>
        <w:spacing w:after="160"/>
      </w:pPr>
    </w:p>
    <w:p w14:paraId="435FD89E" w14:textId="77777777" w:rsidR="00340073" w:rsidRDefault="00000000">
      <w:pPr>
        <w:pBdr>
          <w:bottom w:val="single" w:sz="12" w:space="0" w:color="185FA5"/>
        </w:pBdr>
        <w:spacing w:before="280" w:after="120"/>
      </w:pPr>
      <w:r>
        <w:rPr>
          <w:rFonts w:ascii="Calibri" w:eastAsia="Calibri" w:hAnsi="Calibri" w:cs="Calibri"/>
          <w:b/>
          <w:bCs/>
          <w:color w:val="185FA5"/>
          <w:sz w:val="24"/>
          <w:szCs w:val="24"/>
        </w:rPr>
        <w:t>8. Proceso de Eliminación de Buzones</w:t>
      </w:r>
    </w:p>
    <w:p w14:paraId="435FD89F" w14:textId="77777777" w:rsidR="00340073" w:rsidRDefault="00000000">
      <w:pPr>
        <w:spacing w:after="120" w:line="276" w:lineRule="auto"/>
        <w:jc w:val="both"/>
      </w:pPr>
      <w:r>
        <w:rPr>
          <w:color w:val="000000"/>
        </w:rPr>
        <w:lastRenderedPageBreak/>
        <w:t>La eliminación definitiva de un buzón se ejecuta al vencimiento del período de retención en archivo definido en la Política de Retención de Mensajes. Antes de proceder, el administrador debe verificar que el buzón no se encuentra bajo ninguna Reserva Legal activa y que el período de retención ha expirado efectivamente.</w:t>
      </w:r>
    </w:p>
    <w:p w14:paraId="435FD8A0" w14:textId="77777777" w:rsidR="00340073" w:rsidRDefault="00340073">
      <w:pPr>
        <w:spacing w:after="80"/>
      </w:pPr>
    </w:p>
    <w:p w14:paraId="435FD8A1" w14:textId="77777777" w:rsidR="00340073" w:rsidRDefault="00000000">
      <w:pPr>
        <w:spacing w:before="120" w:after="60" w:line="276" w:lineRule="auto"/>
        <w:ind w:left="440" w:hanging="440"/>
        <w:jc w:val="both"/>
      </w:pPr>
      <w:r>
        <w:rPr>
          <w:rFonts w:ascii="Calibri" w:eastAsia="Calibri" w:hAnsi="Calibri" w:cs="Calibri"/>
          <w:b/>
          <w:bCs/>
          <w:color w:val="185FA5"/>
        </w:rPr>
        <w:t xml:space="preserve">1.  </w:t>
      </w:r>
      <w:r>
        <w:rPr>
          <w:rFonts w:ascii="Calibri" w:eastAsia="Calibri" w:hAnsi="Calibri" w:cs="Calibri"/>
          <w:b/>
          <w:bCs/>
          <w:color w:val="000000"/>
        </w:rPr>
        <w:t>Verificación de condiciones previas</w:t>
      </w:r>
    </w:p>
    <w:p w14:paraId="435FD8A2" w14:textId="77777777" w:rsidR="00340073" w:rsidRDefault="00000000">
      <w:pPr>
        <w:spacing w:after="120" w:line="276" w:lineRule="auto"/>
        <w:ind w:left="720"/>
        <w:jc w:val="both"/>
      </w:pPr>
      <w:r>
        <w:rPr>
          <w:color w:val="000000"/>
        </w:rPr>
        <w:t>El administrador verifica que: (a) el período de retención en archivo ha expirado según la tabla de retención vigente; (b) el buzón no está incluido en ninguna Reserva Legal activa; (c) no existe ninguna solicitud de acceso pendiente al contenido del buzón. Si alguna de estas condiciones no se cumple, la eliminación se pospone hasta que todas estén satisfechas.</w:t>
      </w:r>
    </w:p>
    <w:p w14:paraId="435FD8A3" w14:textId="77777777" w:rsidR="00340073" w:rsidRDefault="00000000">
      <w:pPr>
        <w:spacing w:before="120" w:after="60" w:line="276" w:lineRule="auto"/>
        <w:ind w:left="440" w:hanging="440"/>
        <w:jc w:val="both"/>
      </w:pPr>
      <w:r>
        <w:rPr>
          <w:rFonts w:ascii="Calibri" w:eastAsia="Calibri" w:hAnsi="Calibri" w:cs="Calibri"/>
          <w:b/>
          <w:bCs/>
          <w:color w:val="185FA5"/>
        </w:rPr>
        <w:t xml:space="preserve">2.  </w:t>
      </w:r>
      <w:r>
        <w:rPr>
          <w:rFonts w:ascii="Calibri" w:eastAsia="Calibri" w:hAnsi="Calibri" w:cs="Calibri"/>
          <w:b/>
          <w:bCs/>
          <w:color w:val="000000"/>
        </w:rPr>
        <w:t>Autorización documentada</w:t>
      </w:r>
    </w:p>
    <w:p w14:paraId="435FD8A4" w14:textId="77777777" w:rsidR="00340073" w:rsidRDefault="00000000">
      <w:pPr>
        <w:spacing w:after="120" w:line="276" w:lineRule="auto"/>
        <w:ind w:left="720"/>
        <w:jc w:val="both"/>
      </w:pPr>
      <w:r>
        <w:rPr>
          <w:color w:val="000000"/>
        </w:rPr>
        <w:t xml:space="preserve">La eliminación definitiva requiere la autorización expresa del responsable de TI, registrada en el </w:t>
      </w:r>
      <w:proofErr w:type="gramStart"/>
      <w:r>
        <w:rPr>
          <w:color w:val="000000"/>
        </w:rPr>
        <w:t>ticket</w:t>
      </w:r>
      <w:proofErr w:type="gramEnd"/>
      <w:r>
        <w:rPr>
          <w:color w:val="000000"/>
        </w:rPr>
        <w:t xml:space="preserve"> correspondiente. Para buzones de ejecutivos, áreas financieras o cualquier buzón que haya estado bajo Reserva Legal, se requiere adicionalmente la confirmación del área legal o de la gerencia.</w:t>
      </w:r>
    </w:p>
    <w:p w14:paraId="435FD8A5" w14:textId="77777777" w:rsidR="00340073" w:rsidRDefault="00000000">
      <w:pPr>
        <w:spacing w:before="120" w:after="60" w:line="276" w:lineRule="auto"/>
        <w:ind w:left="440" w:hanging="440"/>
        <w:jc w:val="both"/>
      </w:pPr>
      <w:r>
        <w:rPr>
          <w:rFonts w:ascii="Calibri" w:eastAsia="Calibri" w:hAnsi="Calibri" w:cs="Calibri"/>
          <w:b/>
          <w:bCs/>
          <w:color w:val="185FA5"/>
        </w:rPr>
        <w:t xml:space="preserve">3.  </w:t>
      </w:r>
      <w:r>
        <w:rPr>
          <w:rFonts w:ascii="Calibri" w:eastAsia="Calibri" w:hAnsi="Calibri" w:cs="Calibri"/>
          <w:b/>
          <w:bCs/>
          <w:color w:val="000000"/>
        </w:rPr>
        <w:t>Exportación de respaldo final (opcional)</w:t>
      </w:r>
    </w:p>
    <w:p w14:paraId="435FD8A6" w14:textId="77777777" w:rsidR="00340073" w:rsidRDefault="00000000">
      <w:pPr>
        <w:spacing w:after="120" w:line="276" w:lineRule="auto"/>
        <w:ind w:left="720"/>
        <w:jc w:val="both"/>
      </w:pPr>
      <w:r>
        <w:rPr>
          <w:color w:val="000000"/>
        </w:rPr>
        <w:t>Si la organización lo requiere por política interna o por obligación regulatoria, el administrador exporta el contenido del buzón en formato estándar (PST, MBOX o equivalente) antes de proceder con la eliminación. El archivo exportado se almacena en el repositorio de respaldos con acceso restringido.</w:t>
      </w:r>
    </w:p>
    <w:p w14:paraId="435FD8A7" w14:textId="77777777" w:rsidR="00340073" w:rsidRDefault="00000000">
      <w:pPr>
        <w:spacing w:before="120" w:after="60" w:line="276" w:lineRule="auto"/>
        <w:ind w:left="440" w:hanging="440"/>
        <w:jc w:val="both"/>
      </w:pPr>
      <w:r>
        <w:rPr>
          <w:rFonts w:ascii="Calibri" w:eastAsia="Calibri" w:hAnsi="Calibri" w:cs="Calibri"/>
          <w:b/>
          <w:bCs/>
          <w:color w:val="185FA5"/>
        </w:rPr>
        <w:t xml:space="preserve">4.  </w:t>
      </w:r>
      <w:r>
        <w:rPr>
          <w:rFonts w:ascii="Calibri" w:eastAsia="Calibri" w:hAnsi="Calibri" w:cs="Calibri"/>
          <w:b/>
          <w:bCs/>
          <w:color w:val="000000"/>
        </w:rPr>
        <w:t>Eliminación del buzón</w:t>
      </w:r>
    </w:p>
    <w:p w14:paraId="435FD8A8" w14:textId="77777777" w:rsidR="00340073" w:rsidRDefault="00000000">
      <w:pPr>
        <w:spacing w:after="120" w:line="276" w:lineRule="auto"/>
        <w:ind w:left="720"/>
        <w:jc w:val="both"/>
      </w:pPr>
      <w:r>
        <w:rPr>
          <w:color w:val="000000"/>
        </w:rPr>
        <w:t>El administrador elimina el buzón desde la consola de administración. En plataformas en la nube, la eliminación suele tener un período de retención adicional en papelera (habitualmente 30 días) antes de la purga definitiva. El administrador verifica que el buzón ha sido eliminado del directorio y que no figura en ninguna lista de distribución activa.</w:t>
      </w:r>
    </w:p>
    <w:p w14:paraId="435FD8A9" w14:textId="77777777" w:rsidR="00340073" w:rsidRDefault="00000000">
      <w:pPr>
        <w:spacing w:before="120" w:after="60" w:line="276" w:lineRule="auto"/>
        <w:ind w:left="440" w:hanging="440"/>
        <w:jc w:val="both"/>
      </w:pPr>
      <w:r>
        <w:rPr>
          <w:rFonts w:ascii="Calibri" w:eastAsia="Calibri" w:hAnsi="Calibri" w:cs="Calibri"/>
          <w:b/>
          <w:bCs/>
          <w:color w:val="185FA5"/>
        </w:rPr>
        <w:t xml:space="preserve">5.  </w:t>
      </w:r>
      <w:r>
        <w:rPr>
          <w:rFonts w:ascii="Calibri" w:eastAsia="Calibri" w:hAnsi="Calibri" w:cs="Calibri"/>
          <w:b/>
          <w:bCs/>
          <w:color w:val="000000"/>
        </w:rPr>
        <w:t>Registro y cierre</w:t>
      </w:r>
    </w:p>
    <w:p w14:paraId="435FD8AA" w14:textId="77777777" w:rsidR="00340073" w:rsidRDefault="00000000">
      <w:pPr>
        <w:spacing w:after="120" w:line="276" w:lineRule="auto"/>
        <w:ind w:left="720"/>
        <w:jc w:val="both"/>
      </w:pPr>
      <w:r>
        <w:rPr>
          <w:color w:val="000000"/>
        </w:rPr>
        <w:t xml:space="preserve">El </w:t>
      </w:r>
      <w:proofErr w:type="gramStart"/>
      <w:r>
        <w:rPr>
          <w:color w:val="000000"/>
        </w:rPr>
        <w:t>ticket</w:t>
      </w:r>
      <w:proofErr w:type="gramEnd"/>
      <w:r>
        <w:rPr>
          <w:color w:val="000000"/>
        </w:rPr>
        <w:t xml:space="preserve"> se cierra con: fecha y hora de eliminación, nombre del buzón, confirmación de ausencia de Reserva Legal, nombre del autorizante, y — si aplica — referencia al archivo de respaldo exportado.</w:t>
      </w:r>
    </w:p>
    <w:p w14:paraId="435FD8AB" w14:textId="77777777" w:rsidR="00340073" w:rsidRDefault="00000000">
      <w:pPr>
        <w:pBdr>
          <w:left w:val="single" w:sz="18" w:space="0" w:color="A32D2D"/>
        </w:pBdr>
        <w:shd w:val="clear" w:color="auto" w:fill="FAECEC"/>
        <w:spacing w:before="120" w:after="120" w:line="276" w:lineRule="auto"/>
        <w:ind w:left="360"/>
        <w:jc w:val="both"/>
      </w:pPr>
      <w:r>
        <w:rPr>
          <w:b/>
          <w:bCs/>
          <w:i/>
          <w:iCs/>
          <w:color w:val="A32D2D"/>
        </w:rPr>
        <w:t xml:space="preserve">✕ Prohibido: </w:t>
      </w:r>
      <w:r>
        <w:rPr>
          <w:i/>
          <w:iCs/>
          <w:color w:val="000000"/>
        </w:rPr>
        <w:t xml:space="preserve">Ningún buzón puede ser eliminado de forma anticipada al vencimiento de su período de retención, salvo orden expresa del área legal documentada en el sistema de </w:t>
      </w:r>
      <w:proofErr w:type="gramStart"/>
      <w:r>
        <w:rPr>
          <w:i/>
          <w:iCs/>
          <w:color w:val="000000"/>
        </w:rPr>
        <w:t>tickets</w:t>
      </w:r>
      <w:proofErr w:type="gramEnd"/>
      <w:r>
        <w:rPr>
          <w:i/>
          <w:iCs/>
          <w:color w:val="000000"/>
        </w:rPr>
        <w:t>. La eliminación anticipada de mensajes bajo Reserva Legal puede constituir obstrucción a la justicia o incumplimiento regulatorio.</w:t>
      </w:r>
    </w:p>
    <w:p w14:paraId="435FD8AC" w14:textId="77777777" w:rsidR="00340073" w:rsidRDefault="00340073">
      <w:pPr>
        <w:spacing w:after="160"/>
      </w:pPr>
    </w:p>
    <w:p w14:paraId="435FD8AD" w14:textId="77777777" w:rsidR="00340073" w:rsidRDefault="00000000">
      <w:pPr>
        <w:pBdr>
          <w:bottom w:val="single" w:sz="12" w:space="0" w:color="185FA5"/>
        </w:pBdr>
        <w:spacing w:before="280" w:after="120"/>
      </w:pPr>
      <w:r>
        <w:rPr>
          <w:rFonts w:ascii="Calibri" w:eastAsia="Calibri" w:hAnsi="Calibri" w:cs="Calibri"/>
          <w:b/>
          <w:bCs/>
          <w:color w:val="185FA5"/>
          <w:sz w:val="24"/>
          <w:szCs w:val="24"/>
        </w:rPr>
        <w:t>9. Gestión de Buzones Compartidos y Listas de Distribución</w:t>
      </w:r>
    </w:p>
    <w:p w14:paraId="435FD8AE" w14:textId="77777777" w:rsidR="00340073" w:rsidRDefault="00000000">
      <w:pPr>
        <w:spacing w:after="120" w:line="276" w:lineRule="auto"/>
        <w:jc w:val="both"/>
      </w:pPr>
      <w:r>
        <w:rPr>
          <w:color w:val="000000"/>
        </w:rPr>
        <w:t>Los buzones compartidos y las listas de distribución requieren controles adicionales respecto a los buzones individuales, dado que su acceso involucra a múltiples usuarios y su propietario no siempre es una persona identificada.</w:t>
      </w:r>
    </w:p>
    <w:p w14:paraId="435FD8AF" w14:textId="77777777" w:rsidR="00340073" w:rsidRDefault="00340073">
      <w:pPr>
        <w:spacing w:after="80"/>
      </w:pPr>
    </w:p>
    <w:p w14:paraId="435FD8B0" w14:textId="77777777" w:rsidR="00340073" w:rsidRDefault="00000000">
      <w:pPr>
        <w:spacing w:before="180" w:after="80"/>
      </w:pPr>
      <w:r>
        <w:rPr>
          <w:rFonts w:ascii="Calibri" w:eastAsia="Calibri" w:hAnsi="Calibri" w:cs="Calibri"/>
          <w:b/>
          <w:bCs/>
          <w:color w:val="5F5E5A"/>
          <w:sz w:val="22"/>
          <w:szCs w:val="22"/>
        </w:rPr>
        <w:t>9.1. Propietario asignado</w:t>
      </w:r>
    </w:p>
    <w:p w14:paraId="435FD8B1" w14:textId="77777777" w:rsidR="00340073" w:rsidRDefault="00000000">
      <w:pPr>
        <w:spacing w:after="120" w:line="276" w:lineRule="auto"/>
        <w:jc w:val="both"/>
      </w:pPr>
      <w:r>
        <w:rPr>
          <w:color w:val="000000"/>
        </w:rPr>
        <w:t>Todo buzón compartido o lista de distribución debe tener un propietario asignado: una persona del área responsable que toma las decisiones sobre quién tiene acceso, qué comunicaciones son válidas y cuándo el buzón debe ser desactivado. El propietario debe estar documentado en el inventario de buzones y revisarse al menos una vez al año.</w:t>
      </w:r>
    </w:p>
    <w:p w14:paraId="435FD8B2" w14:textId="77777777" w:rsidR="00340073" w:rsidRDefault="00000000">
      <w:pPr>
        <w:spacing w:before="180" w:after="80"/>
      </w:pPr>
      <w:r>
        <w:rPr>
          <w:rFonts w:ascii="Calibri" w:eastAsia="Calibri" w:hAnsi="Calibri" w:cs="Calibri"/>
          <w:b/>
          <w:bCs/>
          <w:color w:val="5F5E5A"/>
          <w:sz w:val="22"/>
          <w:szCs w:val="22"/>
        </w:rPr>
        <w:t>9.2. Revisión de miembros</w:t>
      </w:r>
    </w:p>
    <w:p w14:paraId="435FD8B3" w14:textId="77777777" w:rsidR="00340073" w:rsidRDefault="00000000">
      <w:pPr>
        <w:spacing w:after="120" w:line="276" w:lineRule="auto"/>
        <w:jc w:val="both"/>
      </w:pPr>
      <w:r>
        <w:rPr>
          <w:color w:val="000000"/>
        </w:rPr>
        <w:lastRenderedPageBreak/>
        <w:t xml:space="preserve">El administrador de TI, en coordinación con el propietario del buzón, debe revisar la lista de usuarios con acceso a cada buzón compartido con una frecuencia mínima semestral. Los usuarios que ya no requieran acceso deben ser removidos de forma inmediata. Esta revisión debe quedar registrada en el sistema de </w:t>
      </w:r>
      <w:proofErr w:type="gramStart"/>
      <w:r>
        <w:rPr>
          <w:color w:val="000000"/>
        </w:rPr>
        <w:t>tickets</w:t>
      </w:r>
      <w:proofErr w:type="gramEnd"/>
      <w:r>
        <w:rPr>
          <w:color w:val="000000"/>
        </w:rPr>
        <w:t>.</w:t>
      </w:r>
    </w:p>
    <w:p w14:paraId="435FD8B4" w14:textId="77777777" w:rsidR="00340073" w:rsidRDefault="00000000">
      <w:pPr>
        <w:spacing w:before="180" w:after="80"/>
      </w:pPr>
      <w:r>
        <w:rPr>
          <w:rFonts w:ascii="Calibri" w:eastAsia="Calibri" w:hAnsi="Calibri" w:cs="Calibri"/>
          <w:b/>
          <w:bCs/>
          <w:color w:val="5F5E5A"/>
          <w:sz w:val="22"/>
          <w:szCs w:val="22"/>
        </w:rPr>
        <w:t>9.3. Desvinculación de miembros</w:t>
      </w:r>
    </w:p>
    <w:p w14:paraId="435FD8B5" w14:textId="77777777" w:rsidR="00340073" w:rsidRDefault="00000000">
      <w:pPr>
        <w:spacing w:after="120" w:line="276" w:lineRule="auto"/>
        <w:jc w:val="both"/>
      </w:pPr>
      <w:r>
        <w:rPr>
          <w:color w:val="000000"/>
        </w:rPr>
        <w:t xml:space="preserve">Cuando un usuario con acceso a uno o más buzones compartidos se desvincula de la organización, el administrador debe removerlo de todos los buzones compartidos y listas de distribución de los que era miembro como parte del proceso de </w:t>
      </w:r>
      <w:proofErr w:type="spellStart"/>
      <w:r>
        <w:rPr>
          <w:color w:val="000000"/>
        </w:rPr>
        <w:t>offboarding</w:t>
      </w:r>
      <w:proofErr w:type="spellEnd"/>
      <w:r>
        <w:rPr>
          <w:color w:val="000000"/>
        </w:rPr>
        <w:t>, de forma simultánea con la desactivación de su buzón individual.</w:t>
      </w:r>
    </w:p>
    <w:p w14:paraId="435FD8B6" w14:textId="77777777" w:rsidR="00340073" w:rsidRDefault="00340073">
      <w:pPr>
        <w:spacing w:after="160"/>
      </w:pPr>
    </w:p>
    <w:p w14:paraId="435FD8B7" w14:textId="77777777" w:rsidR="00340073" w:rsidRDefault="00000000">
      <w:pPr>
        <w:pBdr>
          <w:bottom w:val="single" w:sz="12" w:space="0" w:color="185FA5"/>
        </w:pBdr>
        <w:spacing w:before="280" w:after="120"/>
      </w:pPr>
      <w:r>
        <w:rPr>
          <w:rFonts w:ascii="Calibri" w:eastAsia="Calibri" w:hAnsi="Calibri" w:cs="Calibri"/>
          <w:b/>
          <w:bCs/>
          <w:color w:val="185FA5"/>
          <w:sz w:val="24"/>
          <w:szCs w:val="24"/>
        </w:rPr>
        <w:t>10. Inventario de Buzones</w:t>
      </w:r>
    </w:p>
    <w:p w14:paraId="435FD8B8" w14:textId="77777777" w:rsidR="00340073" w:rsidRDefault="00000000">
      <w:pPr>
        <w:spacing w:after="120" w:line="276" w:lineRule="auto"/>
        <w:jc w:val="both"/>
      </w:pPr>
      <w:r>
        <w:rPr>
          <w:color w:val="000000"/>
        </w:rPr>
        <w:t>El equipo de TI debe mantener un inventario actualizado de todos los buzones activos bajo el dominio corporativo. Este inventario debe ser revisado y actualizado cada vez que se ejecute una operación de creación, modificación, desactivación o eliminación de un buzón, y auditado de forma completa al menos una vez al año. El inventario mínimo debe incluir los siguientes campos por buzón:</w:t>
      </w:r>
    </w:p>
    <w:p w14:paraId="435FD8B9" w14:textId="77777777" w:rsidR="00340073" w:rsidRDefault="003400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40073" w14:paraId="435FD8BC" w14:textId="77777777">
        <w:tblPrEx>
          <w:tblCellMar>
            <w:top w:w="0" w:type="dxa"/>
            <w:bottom w:w="0" w:type="dxa"/>
          </w:tblCellMar>
        </w:tblPrEx>
        <w:tc>
          <w:tcPr>
            <w:tcW w:w="320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435FD8BA" w14:textId="77777777" w:rsidR="00340073" w:rsidRDefault="00000000">
            <w:r>
              <w:rPr>
                <w:rFonts w:ascii="Calibri" w:eastAsia="Calibri" w:hAnsi="Calibri" w:cs="Calibri"/>
                <w:b/>
                <w:bCs/>
                <w:color w:val="FFFFFF"/>
                <w:sz w:val="18"/>
                <w:szCs w:val="18"/>
              </w:rPr>
              <w:t>Campo</w:t>
            </w:r>
          </w:p>
        </w:tc>
        <w:tc>
          <w:tcPr>
            <w:tcW w:w="616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435FD8BB" w14:textId="77777777" w:rsidR="00340073" w:rsidRDefault="00000000">
            <w:r>
              <w:rPr>
                <w:rFonts w:ascii="Calibri" w:eastAsia="Calibri" w:hAnsi="Calibri" w:cs="Calibri"/>
                <w:b/>
                <w:bCs/>
                <w:color w:val="FFFFFF"/>
                <w:sz w:val="18"/>
                <w:szCs w:val="18"/>
              </w:rPr>
              <w:t>Descripción</w:t>
            </w:r>
          </w:p>
        </w:tc>
      </w:tr>
      <w:tr w:rsidR="00340073" w14:paraId="435FD8BF" w14:textId="77777777">
        <w:tblPrEx>
          <w:tblCellMar>
            <w:top w:w="0" w:type="dxa"/>
            <w:bottom w:w="0" w:type="dxa"/>
          </w:tblCellMar>
        </w:tblPrEx>
        <w:tc>
          <w:tcPr>
            <w:tcW w:w="32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BD" w14:textId="77777777" w:rsidR="00340073" w:rsidRDefault="00000000">
            <w:r>
              <w:rPr>
                <w:color w:val="000000"/>
                <w:sz w:val="18"/>
                <w:szCs w:val="18"/>
              </w:rPr>
              <w:t>Nombre del buzón</w:t>
            </w:r>
          </w:p>
        </w:tc>
        <w:tc>
          <w:tcPr>
            <w:tcW w:w="61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BE" w14:textId="77777777" w:rsidR="00340073" w:rsidRDefault="00000000">
            <w:r>
              <w:rPr>
                <w:color w:val="000000"/>
                <w:sz w:val="18"/>
                <w:szCs w:val="18"/>
              </w:rPr>
              <w:t>Dirección completa de correo (nombre@dominio.com)</w:t>
            </w:r>
          </w:p>
        </w:tc>
      </w:tr>
      <w:tr w:rsidR="00340073" w14:paraId="435FD8C2" w14:textId="77777777">
        <w:tblPrEx>
          <w:tblCellMar>
            <w:top w:w="0" w:type="dxa"/>
            <w:bottom w:w="0" w:type="dxa"/>
          </w:tblCellMar>
        </w:tblPrEx>
        <w:tc>
          <w:tcPr>
            <w:tcW w:w="32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C0" w14:textId="77777777" w:rsidR="00340073" w:rsidRDefault="00000000">
            <w:r>
              <w:rPr>
                <w:color w:val="000000"/>
                <w:sz w:val="18"/>
                <w:szCs w:val="18"/>
              </w:rPr>
              <w:t>Tipo</w:t>
            </w:r>
          </w:p>
        </w:tc>
        <w:tc>
          <w:tcPr>
            <w:tcW w:w="616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C1" w14:textId="77777777" w:rsidR="00340073" w:rsidRDefault="00000000">
            <w:r>
              <w:rPr>
                <w:color w:val="000000"/>
                <w:sz w:val="18"/>
                <w:szCs w:val="18"/>
              </w:rPr>
              <w:t>Individual / Compartido / Lista de distribución / Funcional</w:t>
            </w:r>
          </w:p>
        </w:tc>
      </w:tr>
      <w:tr w:rsidR="00340073" w14:paraId="435FD8C5" w14:textId="77777777">
        <w:tblPrEx>
          <w:tblCellMar>
            <w:top w:w="0" w:type="dxa"/>
            <w:bottom w:w="0" w:type="dxa"/>
          </w:tblCellMar>
        </w:tblPrEx>
        <w:tc>
          <w:tcPr>
            <w:tcW w:w="32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C3" w14:textId="77777777" w:rsidR="00340073" w:rsidRDefault="00000000">
            <w:r>
              <w:rPr>
                <w:color w:val="000000"/>
                <w:sz w:val="18"/>
                <w:szCs w:val="18"/>
              </w:rPr>
              <w:t>Titular o propietario</w:t>
            </w:r>
          </w:p>
        </w:tc>
        <w:tc>
          <w:tcPr>
            <w:tcW w:w="61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C4" w14:textId="77777777" w:rsidR="00340073" w:rsidRDefault="00000000">
            <w:r>
              <w:rPr>
                <w:color w:val="000000"/>
                <w:sz w:val="18"/>
                <w:szCs w:val="18"/>
              </w:rPr>
              <w:t>Nombre completo del usuario o responsable del área</w:t>
            </w:r>
          </w:p>
        </w:tc>
      </w:tr>
      <w:tr w:rsidR="00340073" w14:paraId="435FD8C8" w14:textId="77777777">
        <w:tblPrEx>
          <w:tblCellMar>
            <w:top w:w="0" w:type="dxa"/>
            <w:bottom w:w="0" w:type="dxa"/>
          </w:tblCellMar>
        </w:tblPrEx>
        <w:tc>
          <w:tcPr>
            <w:tcW w:w="32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C6" w14:textId="77777777" w:rsidR="00340073" w:rsidRDefault="00000000">
            <w:r>
              <w:rPr>
                <w:color w:val="000000"/>
                <w:sz w:val="18"/>
                <w:szCs w:val="18"/>
              </w:rPr>
              <w:t>Área funcional</w:t>
            </w:r>
          </w:p>
        </w:tc>
        <w:tc>
          <w:tcPr>
            <w:tcW w:w="616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C7" w14:textId="77777777" w:rsidR="00340073" w:rsidRDefault="00000000">
            <w:r>
              <w:rPr>
                <w:color w:val="000000"/>
                <w:sz w:val="18"/>
                <w:szCs w:val="18"/>
              </w:rPr>
              <w:t>Departamento o área a la que pertenece el buzón</w:t>
            </w:r>
          </w:p>
        </w:tc>
      </w:tr>
      <w:tr w:rsidR="00340073" w14:paraId="435FD8CB" w14:textId="77777777">
        <w:tblPrEx>
          <w:tblCellMar>
            <w:top w:w="0" w:type="dxa"/>
            <w:bottom w:w="0" w:type="dxa"/>
          </w:tblCellMar>
        </w:tblPrEx>
        <w:tc>
          <w:tcPr>
            <w:tcW w:w="32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C9" w14:textId="77777777" w:rsidR="00340073" w:rsidRDefault="00000000">
            <w:r>
              <w:rPr>
                <w:color w:val="000000"/>
                <w:sz w:val="18"/>
                <w:szCs w:val="18"/>
              </w:rPr>
              <w:t>Licencia asignada</w:t>
            </w:r>
          </w:p>
        </w:tc>
        <w:tc>
          <w:tcPr>
            <w:tcW w:w="61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CA" w14:textId="77777777" w:rsidR="00340073" w:rsidRDefault="00000000">
            <w:r>
              <w:rPr>
                <w:color w:val="000000"/>
                <w:sz w:val="18"/>
                <w:szCs w:val="18"/>
              </w:rPr>
              <w:t>Tipo de licencia activa (básica, estándar, avanzada, sin licencia)</w:t>
            </w:r>
          </w:p>
        </w:tc>
      </w:tr>
      <w:tr w:rsidR="00340073" w14:paraId="435FD8CE" w14:textId="77777777">
        <w:tblPrEx>
          <w:tblCellMar>
            <w:top w:w="0" w:type="dxa"/>
            <w:bottom w:w="0" w:type="dxa"/>
          </w:tblCellMar>
        </w:tblPrEx>
        <w:tc>
          <w:tcPr>
            <w:tcW w:w="32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CC" w14:textId="77777777" w:rsidR="00340073" w:rsidRDefault="00000000">
            <w:r>
              <w:rPr>
                <w:color w:val="000000"/>
                <w:sz w:val="18"/>
                <w:szCs w:val="18"/>
              </w:rPr>
              <w:t>Estado</w:t>
            </w:r>
          </w:p>
        </w:tc>
        <w:tc>
          <w:tcPr>
            <w:tcW w:w="616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CD" w14:textId="77777777" w:rsidR="00340073" w:rsidRDefault="00000000">
            <w:r>
              <w:rPr>
                <w:color w:val="000000"/>
                <w:sz w:val="18"/>
                <w:szCs w:val="18"/>
              </w:rPr>
              <w:t>Activo / Desactivado / En archivo / Bajo Reserva Legal</w:t>
            </w:r>
          </w:p>
        </w:tc>
      </w:tr>
      <w:tr w:rsidR="00340073" w14:paraId="435FD8D1" w14:textId="77777777">
        <w:tblPrEx>
          <w:tblCellMar>
            <w:top w:w="0" w:type="dxa"/>
            <w:bottom w:w="0" w:type="dxa"/>
          </w:tblCellMar>
        </w:tblPrEx>
        <w:tc>
          <w:tcPr>
            <w:tcW w:w="32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CF" w14:textId="77777777" w:rsidR="00340073" w:rsidRDefault="00000000">
            <w:r>
              <w:rPr>
                <w:color w:val="000000"/>
                <w:sz w:val="18"/>
                <w:szCs w:val="18"/>
              </w:rPr>
              <w:t>Fecha de creación</w:t>
            </w:r>
          </w:p>
        </w:tc>
        <w:tc>
          <w:tcPr>
            <w:tcW w:w="61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D0" w14:textId="77777777" w:rsidR="00340073" w:rsidRDefault="00000000">
            <w:r>
              <w:rPr>
                <w:color w:val="000000"/>
                <w:sz w:val="18"/>
                <w:szCs w:val="18"/>
              </w:rPr>
              <w:t>Fecha en que el buzón fue aprovisionado</w:t>
            </w:r>
          </w:p>
        </w:tc>
      </w:tr>
      <w:tr w:rsidR="00340073" w14:paraId="435FD8D4" w14:textId="77777777">
        <w:tblPrEx>
          <w:tblCellMar>
            <w:top w:w="0" w:type="dxa"/>
            <w:bottom w:w="0" w:type="dxa"/>
          </w:tblCellMar>
        </w:tblPrEx>
        <w:tc>
          <w:tcPr>
            <w:tcW w:w="32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D2" w14:textId="77777777" w:rsidR="00340073" w:rsidRDefault="00000000">
            <w:r>
              <w:rPr>
                <w:color w:val="000000"/>
                <w:sz w:val="18"/>
                <w:szCs w:val="18"/>
              </w:rPr>
              <w:t>Fecha de desactivación</w:t>
            </w:r>
          </w:p>
        </w:tc>
        <w:tc>
          <w:tcPr>
            <w:tcW w:w="616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D3" w14:textId="77777777" w:rsidR="00340073" w:rsidRDefault="00000000">
            <w:r>
              <w:rPr>
                <w:color w:val="000000"/>
                <w:sz w:val="18"/>
                <w:szCs w:val="18"/>
              </w:rPr>
              <w:t>Fecha efectiva de desactivación (si aplica)</w:t>
            </w:r>
          </w:p>
        </w:tc>
      </w:tr>
      <w:tr w:rsidR="00340073" w14:paraId="435FD8D7" w14:textId="77777777">
        <w:tblPrEx>
          <w:tblCellMar>
            <w:top w:w="0" w:type="dxa"/>
            <w:bottom w:w="0" w:type="dxa"/>
          </w:tblCellMar>
        </w:tblPrEx>
        <w:tc>
          <w:tcPr>
            <w:tcW w:w="32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D5" w14:textId="77777777" w:rsidR="00340073" w:rsidRDefault="00000000">
            <w:r>
              <w:rPr>
                <w:color w:val="000000"/>
                <w:sz w:val="18"/>
                <w:szCs w:val="18"/>
              </w:rPr>
              <w:t>Fecha de eliminación prevista</w:t>
            </w:r>
          </w:p>
        </w:tc>
        <w:tc>
          <w:tcPr>
            <w:tcW w:w="61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D6" w14:textId="77777777" w:rsidR="00340073" w:rsidRDefault="00000000">
            <w:r>
              <w:rPr>
                <w:color w:val="000000"/>
                <w:sz w:val="18"/>
                <w:szCs w:val="18"/>
              </w:rPr>
              <w:t>Fecha calculada según política de retención vigente</w:t>
            </w:r>
          </w:p>
        </w:tc>
      </w:tr>
      <w:tr w:rsidR="00340073" w14:paraId="435FD8DA" w14:textId="77777777">
        <w:tblPrEx>
          <w:tblCellMar>
            <w:top w:w="0" w:type="dxa"/>
            <w:bottom w:w="0" w:type="dxa"/>
          </w:tblCellMar>
        </w:tblPrEx>
        <w:tc>
          <w:tcPr>
            <w:tcW w:w="32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D8" w14:textId="77777777" w:rsidR="00340073" w:rsidRDefault="00000000">
            <w:r>
              <w:rPr>
                <w:color w:val="000000"/>
                <w:sz w:val="18"/>
                <w:szCs w:val="18"/>
              </w:rPr>
              <w:t>Reserva Legal activa</w:t>
            </w:r>
          </w:p>
        </w:tc>
        <w:tc>
          <w:tcPr>
            <w:tcW w:w="616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D9" w14:textId="77777777" w:rsidR="00340073" w:rsidRDefault="00000000">
            <w:r>
              <w:rPr>
                <w:color w:val="000000"/>
                <w:sz w:val="18"/>
                <w:szCs w:val="18"/>
              </w:rPr>
              <w:t xml:space="preserve">Sí / No — referencia al </w:t>
            </w:r>
            <w:proofErr w:type="gramStart"/>
            <w:r>
              <w:rPr>
                <w:color w:val="000000"/>
                <w:sz w:val="18"/>
                <w:szCs w:val="18"/>
              </w:rPr>
              <w:t>ticket</w:t>
            </w:r>
            <w:proofErr w:type="gramEnd"/>
            <w:r>
              <w:rPr>
                <w:color w:val="000000"/>
                <w:sz w:val="18"/>
                <w:szCs w:val="18"/>
              </w:rPr>
              <w:t xml:space="preserve"> si aplica</w:t>
            </w:r>
          </w:p>
        </w:tc>
      </w:tr>
      <w:tr w:rsidR="00340073" w14:paraId="435FD8DD" w14:textId="77777777">
        <w:tblPrEx>
          <w:tblCellMar>
            <w:top w:w="0" w:type="dxa"/>
            <w:bottom w:w="0" w:type="dxa"/>
          </w:tblCellMar>
        </w:tblPrEx>
        <w:tc>
          <w:tcPr>
            <w:tcW w:w="32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DB" w14:textId="77777777" w:rsidR="00340073" w:rsidRDefault="00000000">
            <w:r>
              <w:rPr>
                <w:color w:val="000000"/>
                <w:sz w:val="18"/>
                <w:szCs w:val="18"/>
              </w:rPr>
              <w:t>Observaciones</w:t>
            </w:r>
          </w:p>
        </w:tc>
        <w:tc>
          <w:tcPr>
            <w:tcW w:w="61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DC" w14:textId="77777777" w:rsidR="00340073" w:rsidRDefault="00000000">
            <w:r>
              <w:rPr>
                <w:color w:val="000000"/>
                <w:sz w:val="18"/>
                <w:szCs w:val="18"/>
              </w:rPr>
              <w:t>Notas relevantes sobre el buzón o su gestión</w:t>
            </w:r>
          </w:p>
        </w:tc>
      </w:tr>
    </w:tbl>
    <w:p w14:paraId="435FD8DE" w14:textId="77777777" w:rsidR="00340073" w:rsidRDefault="00340073">
      <w:pPr>
        <w:spacing w:after="200"/>
      </w:pPr>
    </w:p>
    <w:p w14:paraId="435FD8DF" w14:textId="77777777" w:rsidR="00340073" w:rsidRDefault="00000000">
      <w:pPr>
        <w:pBdr>
          <w:bottom w:val="single" w:sz="12" w:space="0" w:color="185FA5"/>
        </w:pBdr>
        <w:spacing w:before="280" w:after="120"/>
      </w:pPr>
      <w:r>
        <w:rPr>
          <w:rFonts w:ascii="Calibri" w:eastAsia="Calibri" w:hAnsi="Calibri" w:cs="Calibri"/>
          <w:b/>
          <w:bCs/>
          <w:color w:val="185FA5"/>
          <w:sz w:val="24"/>
          <w:szCs w:val="24"/>
        </w:rPr>
        <w:t>11. Resumen de Plazos Operativos</w:t>
      </w:r>
    </w:p>
    <w:p w14:paraId="435FD8E0" w14:textId="77777777" w:rsidR="00340073" w:rsidRDefault="003400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0"/>
        <w:gridCol w:w="2400"/>
      </w:tblGrid>
      <w:tr w:rsidR="00340073" w14:paraId="435FD8E4" w14:textId="77777777">
        <w:tblPrEx>
          <w:tblCellMar>
            <w:top w:w="0" w:type="dxa"/>
            <w:bottom w:w="0" w:type="dxa"/>
          </w:tblCellMar>
        </w:tblPrEx>
        <w:tc>
          <w:tcPr>
            <w:tcW w:w="456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435FD8E1" w14:textId="77777777" w:rsidR="00340073" w:rsidRDefault="00000000">
            <w:r>
              <w:rPr>
                <w:rFonts w:ascii="Calibri" w:eastAsia="Calibri" w:hAnsi="Calibri" w:cs="Calibri"/>
                <w:b/>
                <w:bCs/>
                <w:color w:val="FFFFFF"/>
                <w:sz w:val="18"/>
                <w:szCs w:val="18"/>
              </w:rPr>
              <w:t>Actividad</w:t>
            </w:r>
          </w:p>
        </w:tc>
        <w:tc>
          <w:tcPr>
            <w:tcW w:w="240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435FD8E2" w14:textId="77777777" w:rsidR="00340073" w:rsidRDefault="00000000">
            <w:r>
              <w:rPr>
                <w:rFonts w:ascii="Calibri" w:eastAsia="Calibri" w:hAnsi="Calibri" w:cs="Calibri"/>
                <w:b/>
                <w:bCs/>
                <w:color w:val="FFFFFF"/>
                <w:sz w:val="18"/>
                <w:szCs w:val="18"/>
              </w:rPr>
              <w:t>Plazo máximo</w:t>
            </w:r>
          </w:p>
        </w:tc>
        <w:tc>
          <w:tcPr>
            <w:tcW w:w="240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435FD8E3" w14:textId="77777777" w:rsidR="00340073" w:rsidRDefault="00000000">
            <w:r>
              <w:rPr>
                <w:rFonts w:ascii="Calibri" w:eastAsia="Calibri" w:hAnsi="Calibri" w:cs="Calibri"/>
                <w:b/>
                <w:bCs/>
                <w:color w:val="FFFFFF"/>
                <w:sz w:val="18"/>
                <w:szCs w:val="18"/>
              </w:rPr>
              <w:t>Responsable</w:t>
            </w:r>
          </w:p>
        </w:tc>
      </w:tr>
      <w:tr w:rsidR="00340073" w14:paraId="435FD8E8" w14:textId="77777777">
        <w:tblPrEx>
          <w:tblCellMar>
            <w:top w:w="0" w:type="dxa"/>
            <w:bottom w:w="0" w:type="dxa"/>
          </w:tblCellMar>
        </w:tblPrEx>
        <w:tc>
          <w:tcPr>
            <w:tcW w:w="4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E5" w14:textId="77777777" w:rsidR="00340073" w:rsidRDefault="00000000">
            <w:r>
              <w:rPr>
                <w:color w:val="000000"/>
                <w:sz w:val="18"/>
                <w:szCs w:val="18"/>
              </w:rPr>
              <w:t>Creación de buzón tras solicitud completa</w:t>
            </w:r>
          </w:p>
        </w:tc>
        <w:tc>
          <w:tcPr>
            <w:tcW w:w="24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E6" w14:textId="77777777" w:rsidR="00340073" w:rsidRDefault="00000000">
            <w:r>
              <w:rPr>
                <w:color w:val="000000"/>
                <w:sz w:val="18"/>
                <w:szCs w:val="18"/>
              </w:rPr>
              <w:t>2 días hábiles</w:t>
            </w:r>
          </w:p>
        </w:tc>
        <w:tc>
          <w:tcPr>
            <w:tcW w:w="24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E7" w14:textId="77777777" w:rsidR="00340073" w:rsidRDefault="00000000">
            <w:r>
              <w:rPr>
                <w:color w:val="000000"/>
                <w:sz w:val="18"/>
                <w:szCs w:val="18"/>
              </w:rPr>
              <w:t>TI</w:t>
            </w:r>
          </w:p>
        </w:tc>
      </w:tr>
      <w:tr w:rsidR="00340073" w14:paraId="435FD8EC" w14:textId="77777777">
        <w:tblPrEx>
          <w:tblCellMar>
            <w:top w:w="0" w:type="dxa"/>
            <w:bottom w:w="0" w:type="dxa"/>
          </w:tblCellMar>
        </w:tblPrEx>
        <w:tc>
          <w:tcPr>
            <w:tcW w:w="456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E9" w14:textId="77777777" w:rsidR="00340073" w:rsidRDefault="00000000">
            <w:r>
              <w:rPr>
                <w:color w:val="000000"/>
                <w:sz w:val="18"/>
                <w:szCs w:val="18"/>
              </w:rPr>
              <w:t>Desactivación tras desvinculación</w:t>
            </w:r>
          </w:p>
        </w:tc>
        <w:tc>
          <w:tcPr>
            <w:tcW w:w="24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EA" w14:textId="77777777" w:rsidR="00340073" w:rsidRDefault="00000000">
            <w:r>
              <w:rPr>
                <w:color w:val="000000"/>
                <w:sz w:val="18"/>
                <w:szCs w:val="18"/>
              </w:rPr>
              <w:t>24 horas</w:t>
            </w:r>
          </w:p>
        </w:tc>
        <w:tc>
          <w:tcPr>
            <w:tcW w:w="24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EB" w14:textId="77777777" w:rsidR="00340073" w:rsidRDefault="00000000">
            <w:r>
              <w:rPr>
                <w:color w:val="000000"/>
                <w:sz w:val="18"/>
                <w:szCs w:val="18"/>
              </w:rPr>
              <w:t>TI</w:t>
            </w:r>
          </w:p>
        </w:tc>
      </w:tr>
      <w:tr w:rsidR="00340073" w14:paraId="435FD8F0" w14:textId="77777777">
        <w:tblPrEx>
          <w:tblCellMar>
            <w:top w:w="0" w:type="dxa"/>
            <w:bottom w:w="0" w:type="dxa"/>
          </w:tblCellMar>
        </w:tblPrEx>
        <w:tc>
          <w:tcPr>
            <w:tcW w:w="4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ED" w14:textId="77777777" w:rsidR="00340073" w:rsidRDefault="00000000">
            <w:r>
              <w:rPr>
                <w:color w:val="000000"/>
                <w:sz w:val="18"/>
                <w:szCs w:val="18"/>
              </w:rPr>
              <w:t>Acceso temporal del área al buzón desactivado</w:t>
            </w:r>
          </w:p>
        </w:tc>
        <w:tc>
          <w:tcPr>
            <w:tcW w:w="24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EE" w14:textId="77777777" w:rsidR="00340073" w:rsidRDefault="00000000">
            <w:r>
              <w:rPr>
                <w:color w:val="000000"/>
                <w:sz w:val="18"/>
                <w:szCs w:val="18"/>
              </w:rPr>
              <w:t>Máx. 30 días</w:t>
            </w:r>
          </w:p>
        </w:tc>
        <w:tc>
          <w:tcPr>
            <w:tcW w:w="24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EF" w14:textId="77777777" w:rsidR="00340073" w:rsidRDefault="00000000">
            <w:r>
              <w:rPr>
                <w:color w:val="000000"/>
                <w:sz w:val="18"/>
                <w:szCs w:val="18"/>
              </w:rPr>
              <w:t>TI + Área</w:t>
            </w:r>
          </w:p>
        </w:tc>
      </w:tr>
      <w:tr w:rsidR="00340073" w14:paraId="435FD8F4" w14:textId="77777777">
        <w:tblPrEx>
          <w:tblCellMar>
            <w:top w:w="0" w:type="dxa"/>
            <w:bottom w:w="0" w:type="dxa"/>
          </w:tblCellMar>
        </w:tblPrEx>
        <w:tc>
          <w:tcPr>
            <w:tcW w:w="456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F1" w14:textId="77777777" w:rsidR="00340073" w:rsidRDefault="00000000">
            <w:r>
              <w:rPr>
                <w:color w:val="000000"/>
                <w:sz w:val="18"/>
                <w:szCs w:val="18"/>
              </w:rPr>
              <w:t>Liberación de licencia tras desactivación</w:t>
            </w:r>
          </w:p>
        </w:tc>
        <w:tc>
          <w:tcPr>
            <w:tcW w:w="24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F2" w14:textId="77777777" w:rsidR="00340073" w:rsidRDefault="00000000">
            <w:r>
              <w:rPr>
                <w:color w:val="000000"/>
                <w:sz w:val="18"/>
                <w:szCs w:val="18"/>
              </w:rPr>
              <w:t>Al vencimiento del acceso temporal</w:t>
            </w:r>
          </w:p>
        </w:tc>
        <w:tc>
          <w:tcPr>
            <w:tcW w:w="24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F3" w14:textId="77777777" w:rsidR="00340073" w:rsidRDefault="00000000">
            <w:r>
              <w:rPr>
                <w:color w:val="000000"/>
                <w:sz w:val="18"/>
                <w:szCs w:val="18"/>
              </w:rPr>
              <w:t>TI</w:t>
            </w:r>
          </w:p>
        </w:tc>
      </w:tr>
      <w:tr w:rsidR="00340073" w14:paraId="435FD8F8" w14:textId="77777777">
        <w:tblPrEx>
          <w:tblCellMar>
            <w:top w:w="0" w:type="dxa"/>
            <w:bottom w:w="0" w:type="dxa"/>
          </w:tblCellMar>
        </w:tblPrEx>
        <w:tc>
          <w:tcPr>
            <w:tcW w:w="4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F5" w14:textId="77777777" w:rsidR="00340073" w:rsidRDefault="00000000">
            <w:r>
              <w:rPr>
                <w:color w:val="000000"/>
                <w:sz w:val="18"/>
                <w:szCs w:val="18"/>
              </w:rPr>
              <w:t>Revisión de miembros en buzones compartidos</w:t>
            </w:r>
          </w:p>
        </w:tc>
        <w:tc>
          <w:tcPr>
            <w:tcW w:w="24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F6" w14:textId="77777777" w:rsidR="00340073" w:rsidRDefault="00000000">
            <w:r>
              <w:rPr>
                <w:color w:val="000000"/>
                <w:sz w:val="18"/>
                <w:szCs w:val="18"/>
              </w:rPr>
              <w:t>Semestral</w:t>
            </w:r>
          </w:p>
        </w:tc>
        <w:tc>
          <w:tcPr>
            <w:tcW w:w="24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F7" w14:textId="77777777" w:rsidR="00340073" w:rsidRDefault="00000000">
            <w:r>
              <w:rPr>
                <w:color w:val="000000"/>
                <w:sz w:val="18"/>
                <w:szCs w:val="18"/>
              </w:rPr>
              <w:t>TI + Propietario</w:t>
            </w:r>
          </w:p>
        </w:tc>
      </w:tr>
      <w:tr w:rsidR="00340073" w14:paraId="435FD8FC" w14:textId="77777777">
        <w:tblPrEx>
          <w:tblCellMar>
            <w:top w:w="0" w:type="dxa"/>
            <w:bottom w:w="0" w:type="dxa"/>
          </w:tblCellMar>
        </w:tblPrEx>
        <w:tc>
          <w:tcPr>
            <w:tcW w:w="456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F9" w14:textId="77777777" w:rsidR="00340073" w:rsidRDefault="00000000">
            <w:r>
              <w:rPr>
                <w:color w:val="000000"/>
                <w:sz w:val="18"/>
                <w:szCs w:val="18"/>
              </w:rPr>
              <w:t>Revisión completa del inventario de buzones</w:t>
            </w:r>
          </w:p>
        </w:tc>
        <w:tc>
          <w:tcPr>
            <w:tcW w:w="24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FA" w14:textId="77777777" w:rsidR="00340073" w:rsidRDefault="00000000">
            <w:r>
              <w:rPr>
                <w:color w:val="000000"/>
                <w:sz w:val="18"/>
                <w:szCs w:val="18"/>
              </w:rPr>
              <w:t>Anual</w:t>
            </w:r>
          </w:p>
        </w:tc>
        <w:tc>
          <w:tcPr>
            <w:tcW w:w="24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8FB" w14:textId="77777777" w:rsidR="00340073" w:rsidRDefault="00000000">
            <w:r>
              <w:rPr>
                <w:color w:val="000000"/>
                <w:sz w:val="18"/>
                <w:szCs w:val="18"/>
              </w:rPr>
              <w:t>TI</w:t>
            </w:r>
          </w:p>
        </w:tc>
      </w:tr>
      <w:tr w:rsidR="00340073" w14:paraId="435FD900" w14:textId="77777777">
        <w:tblPrEx>
          <w:tblCellMar>
            <w:top w:w="0" w:type="dxa"/>
            <w:bottom w:w="0" w:type="dxa"/>
          </w:tblCellMar>
        </w:tblPrEx>
        <w:tc>
          <w:tcPr>
            <w:tcW w:w="4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FD" w14:textId="77777777" w:rsidR="00340073" w:rsidRDefault="00000000">
            <w:r>
              <w:rPr>
                <w:color w:val="000000"/>
                <w:sz w:val="18"/>
                <w:szCs w:val="18"/>
              </w:rPr>
              <w:lastRenderedPageBreak/>
              <w:t>Eliminación definitiva del buzón</w:t>
            </w:r>
          </w:p>
        </w:tc>
        <w:tc>
          <w:tcPr>
            <w:tcW w:w="24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FE" w14:textId="77777777" w:rsidR="00340073" w:rsidRDefault="00000000">
            <w:r>
              <w:rPr>
                <w:color w:val="000000"/>
                <w:sz w:val="18"/>
                <w:szCs w:val="18"/>
              </w:rPr>
              <w:t>Al vencimiento del período de retención</w:t>
            </w:r>
          </w:p>
        </w:tc>
        <w:tc>
          <w:tcPr>
            <w:tcW w:w="24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8FF" w14:textId="77777777" w:rsidR="00340073" w:rsidRDefault="00000000">
            <w:r>
              <w:rPr>
                <w:color w:val="000000"/>
                <w:sz w:val="18"/>
                <w:szCs w:val="18"/>
              </w:rPr>
              <w:t>TI</w:t>
            </w:r>
          </w:p>
        </w:tc>
      </w:tr>
    </w:tbl>
    <w:p w14:paraId="435FD901" w14:textId="77777777" w:rsidR="00340073" w:rsidRDefault="00340073">
      <w:pPr>
        <w:spacing w:after="240"/>
      </w:pPr>
    </w:p>
    <w:p w14:paraId="435FD902" w14:textId="77777777" w:rsidR="00340073" w:rsidRDefault="00000000">
      <w:pPr>
        <w:pBdr>
          <w:bottom w:val="single" w:sz="12" w:space="0" w:color="185FA5"/>
        </w:pBdr>
        <w:spacing w:before="280" w:after="120"/>
      </w:pPr>
      <w:r>
        <w:rPr>
          <w:rFonts w:ascii="Calibri" w:eastAsia="Calibri" w:hAnsi="Calibri" w:cs="Calibri"/>
          <w:b/>
          <w:bCs/>
          <w:color w:val="185FA5"/>
          <w:sz w:val="24"/>
          <w:szCs w:val="24"/>
        </w:rPr>
        <w:t>12. Historial de Revisiones</w:t>
      </w:r>
    </w:p>
    <w:p w14:paraId="435FD903" w14:textId="77777777" w:rsidR="00340073" w:rsidRDefault="003400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160"/>
        <w:gridCol w:w="3000"/>
      </w:tblGrid>
      <w:tr w:rsidR="00340073" w14:paraId="435FD908" w14:textId="77777777">
        <w:tblPrEx>
          <w:tblCellMar>
            <w:top w:w="0" w:type="dxa"/>
            <w:bottom w:w="0" w:type="dxa"/>
          </w:tblCellMar>
        </w:tblPrEx>
        <w:tc>
          <w:tcPr>
            <w:tcW w:w="140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435FD904" w14:textId="77777777" w:rsidR="00340073" w:rsidRDefault="00000000">
            <w:r>
              <w:rPr>
                <w:rFonts w:ascii="Calibri" w:eastAsia="Calibri" w:hAnsi="Calibri" w:cs="Calibri"/>
                <w:b/>
                <w:bCs/>
                <w:color w:val="FFFFFF"/>
                <w:sz w:val="18"/>
                <w:szCs w:val="18"/>
              </w:rPr>
              <w:t>Versión</w:t>
            </w:r>
          </w:p>
        </w:tc>
        <w:tc>
          <w:tcPr>
            <w:tcW w:w="180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435FD905" w14:textId="77777777" w:rsidR="00340073" w:rsidRDefault="00000000">
            <w:r>
              <w:rPr>
                <w:rFonts w:ascii="Calibri" w:eastAsia="Calibri" w:hAnsi="Calibri" w:cs="Calibri"/>
                <w:b/>
                <w:bCs/>
                <w:color w:val="FFFFFF"/>
                <w:sz w:val="18"/>
                <w:szCs w:val="18"/>
              </w:rPr>
              <w:t>Fecha</w:t>
            </w:r>
          </w:p>
        </w:tc>
        <w:tc>
          <w:tcPr>
            <w:tcW w:w="316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435FD906" w14:textId="77777777" w:rsidR="00340073" w:rsidRDefault="00000000">
            <w:r>
              <w:rPr>
                <w:rFonts w:ascii="Calibri" w:eastAsia="Calibri" w:hAnsi="Calibri" w:cs="Calibri"/>
                <w:b/>
                <w:bCs/>
                <w:color w:val="FFFFFF"/>
                <w:sz w:val="18"/>
                <w:szCs w:val="18"/>
              </w:rPr>
              <w:t>Descripción del cambio</w:t>
            </w:r>
          </w:p>
        </w:tc>
        <w:tc>
          <w:tcPr>
            <w:tcW w:w="300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435FD907" w14:textId="77777777" w:rsidR="00340073" w:rsidRDefault="00000000">
            <w:r>
              <w:rPr>
                <w:rFonts w:ascii="Calibri" w:eastAsia="Calibri" w:hAnsi="Calibri" w:cs="Calibri"/>
                <w:b/>
                <w:bCs/>
                <w:color w:val="FFFFFF"/>
                <w:sz w:val="18"/>
                <w:szCs w:val="18"/>
              </w:rPr>
              <w:t>Aprobado por</w:t>
            </w:r>
          </w:p>
        </w:tc>
      </w:tr>
      <w:tr w:rsidR="00340073" w14:paraId="435FD90D" w14:textId="77777777">
        <w:tblPrEx>
          <w:tblCellMar>
            <w:top w:w="0" w:type="dxa"/>
            <w:bottom w:w="0" w:type="dxa"/>
          </w:tblCellMar>
        </w:tblPrEx>
        <w:tc>
          <w:tcPr>
            <w:tcW w:w="14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909" w14:textId="77777777" w:rsidR="00340073" w:rsidRDefault="00000000">
            <w:r>
              <w:rPr>
                <w:color w:val="000000"/>
                <w:sz w:val="18"/>
                <w:szCs w:val="18"/>
              </w:rPr>
              <w:t>1.0</w:t>
            </w:r>
          </w:p>
        </w:tc>
        <w:tc>
          <w:tcPr>
            <w:tcW w:w="18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90A" w14:textId="77777777" w:rsidR="00340073" w:rsidRDefault="00000000">
            <w:r>
              <w:rPr>
                <w:color w:val="000000"/>
                <w:sz w:val="18"/>
                <w:szCs w:val="18"/>
              </w:rPr>
              <w:t>[DD/MM/AAAA]</w:t>
            </w:r>
          </w:p>
        </w:tc>
        <w:tc>
          <w:tcPr>
            <w:tcW w:w="31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90B" w14:textId="77777777" w:rsidR="00340073" w:rsidRDefault="00000000">
            <w:r>
              <w:rPr>
                <w:color w:val="000000"/>
                <w:sz w:val="18"/>
                <w:szCs w:val="18"/>
              </w:rPr>
              <w:t>Versión inicial</w:t>
            </w:r>
          </w:p>
        </w:tc>
        <w:tc>
          <w:tcPr>
            <w:tcW w:w="30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435FD90C" w14:textId="77777777" w:rsidR="00340073" w:rsidRDefault="00000000">
            <w:r>
              <w:rPr>
                <w:color w:val="000000"/>
                <w:sz w:val="18"/>
                <w:szCs w:val="18"/>
              </w:rPr>
              <w:t>[Nombre]</w:t>
            </w:r>
          </w:p>
        </w:tc>
      </w:tr>
      <w:tr w:rsidR="00340073" w14:paraId="435FD912" w14:textId="77777777">
        <w:tblPrEx>
          <w:tblCellMar>
            <w:top w:w="0" w:type="dxa"/>
            <w:bottom w:w="0" w:type="dxa"/>
          </w:tblCellMar>
        </w:tblPrEx>
        <w:tc>
          <w:tcPr>
            <w:tcW w:w="14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90E" w14:textId="77777777" w:rsidR="00340073" w:rsidRDefault="00340073"/>
        </w:tc>
        <w:tc>
          <w:tcPr>
            <w:tcW w:w="18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90F" w14:textId="77777777" w:rsidR="00340073" w:rsidRDefault="00340073"/>
        </w:tc>
        <w:tc>
          <w:tcPr>
            <w:tcW w:w="316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910" w14:textId="77777777" w:rsidR="00340073" w:rsidRDefault="00340073"/>
        </w:tc>
        <w:tc>
          <w:tcPr>
            <w:tcW w:w="30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435FD911" w14:textId="77777777" w:rsidR="00340073" w:rsidRDefault="00340073"/>
        </w:tc>
      </w:tr>
    </w:tbl>
    <w:p w14:paraId="435FD913" w14:textId="77777777" w:rsidR="00340073" w:rsidRDefault="00340073">
      <w:pPr>
        <w:spacing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40073" w14:paraId="435FD920"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5FD914" w14:textId="77777777" w:rsidR="00340073" w:rsidRDefault="00000000">
            <w:pPr>
              <w:pBdr>
                <w:top w:val="single" w:sz="6" w:space="0" w:color="185FA5"/>
              </w:pBdr>
              <w:spacing w:before="480"/>
            </w:pPr>
            <w:r>
              <w:rPr>
                <w:rFonts w:ascii="Calibri" w:eastAsia="Calibri" w:hAnsi="Calibri" w:cs="Calibri"/>
                <w:b/>
                <w:bCs/>
                <w:color w:val="185FA5"/>
                <w:sz w:val="18"/>
                <w:szCs w:val="18"/>
              </w:rPr>
              <w:t>Elaborado por</w:t>
            </w:r>
          </w:p>
          <w:p w14:paraId="435FD915" w14:textId="77777777" w:rsidR="00340073" w:rsidRDefault="00000000">
            <w:r>
              <w:rPr>
                <w:color w:val="5F5E5A"/>
                <w:sz w:val="18"/>
                <w:szCs w:val="18"/>
              </w:rPr>
              <w:t>[Nombre]</w:t>
            </w:r>
          </w:p>
          <w:p w14:paraId="435FD916" w14:textId="77777777" w:rsidR="00340073" w:rsidRDefault="00000000">
            <w:r>
              <w:rPr>
                <w:color w:val="5F5E5A"/>
                <w:sz w:val="18"/>
                <w:szCs w:val="18"/>
              </w:rPr>
              <w:t>[Cargo]</w:t>
            </w:r>
          </w:p>
          <w:p w14:paraId="435FD917" w14:textId="77777777" w:rsidR="00340073" w:rsidRDefault="00000000">
            <w:r>
              <w:rPr>
                <w:color w:val="5F5E5A"/>
                <w:sz w:val="18"/>
                <w:szCs w:val="18"/>
              </w:rPr>
              <w:t>[Fecha]</w:t>
            </w: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5FD918" w14:textId="77777777" w:rsidR="00340073" w:rsidRDefault="00000000">
            <w:pPr>
              <w:pBdr>
                <w:top w:val="single" w:sz="6" w:space="0" w:color="185FA5"/>
              </w:pBdr>
              <w:spacing w:before="480"/>
            </w:pPr>
            <w:r>
              <w:rPr>
                <w:rFonts w:ascii="Calibri" w:eastAsia="Calibri" w:hAnsi="Calibri" w:cs="Calibri"/>
                <w:b/>
                <w:bCs/>
                <w:color w:val="185FA5"/>
                <w:sz w:val="18"/>
                <w:szCs w:val="18"/>
              </w:rPr>
              <w:t>Revisado por</w:t>
            </w:r>
          </w:p>
          <w:p w14:paraId="435FD919" w14:textId="77777777" w:rsidR="00340073" w:rsidRDefault="00000000">
            <w:r>
              <w:rPr>
                <w:color w:val="5F5E5A"/>
                <w:sz w:val="18"/>
                <w:szCs w:val="18"/>
              </w:rPr>
              <w:t>[Nombre]</w:t>
            </w:r>
          </w:p>
          <w:p w14:paraId="435FD91A" w14:textId="77777777" w:rsidR="00340073" w:rsidRDefault="00000000">
            <w:r>
              <w:rPr>
                <w:color w:val="5F5E5A"/>
                <w:sz w:val="18"/>
                <w:szCs w:val="18"/>
              </w:rPr>
              <w:t>[Cargo]</w:t>
            </w:r>
          </w:p>
          <w:p w14:paraId="435FD91B" w14:textId="77777777" w:rsidR="00340073" w:rsidRDefault="00000000">
            <w:r>
              <w:rPr>
                <w:color w:val="5F5E5A"/>
                <w:sz w:val="18"/>
                <w:szCs w:val="18"/>
              </w:rPr>
              <w:t>[Fecha]</w:t>
            </w: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5FD91C" w14:textId="77777777" w:rsidR="00340073" w:rsidRDefault="00000000">
            <w:pPr>
              <w:pBdr>
                <w:top w:val="single" w:sz="6" w:space="0" w:color="185FA5"/>
              </w:pBdr>
              <w:spacing w:before="480"/>
            </w:pPr>
            <w:r>
              <w:rPr>
                <w:rFonts w:ascii="Calibri" w:eastAsia="Calibri" w:hAnsi="Calibri" w:cs="Calibri"/>
                <w:b/>
                <w:bCs/>
                <w:color w:val="185FA5"/>
                <w:sz w:val="18"/>
                <w:szCs w:val="18"/>
              </w:rPr>
              <w:t>Aprobado por</w:t>
            </w:r>
          </w:p>
          <w:p w14:paraId="435FD91D" w14:textId="77777777" w:rsidR="00340073" w:rsidRDefault="00000000">
            <w:r>
              <w:rPr>
                <w:color w:val="5F5E5A"/>
                <w:sz w:val="18"/>
                <w:szCs w:val="18"/>
              </w:rPr>
              <w:t>[Nombre]</w:t>
            </w:r>
          </w:p>
          <w:p w14:paraId="435FD91E" w14:textId="77777777" w:rsidR="00340073" w:rsidRDefault="00000000">
            <w:r>
              <w:rPr>
                <w:color w:val="5F5E5A"/>
                <w:sz w:val="18"/>
                <w:szCs w:val="18"/>
              </w:rPr>
              <w:t>[Cargo]</w:t>
            </w:r>
          </w:p>
          <w:p w14:paraId="435FD91F" w14:textId="77777777" w:rsidR="00340073" w:rsidRDefault="00000000">
            <w:r>
              <w:rPr>
                <w:color w:val="5F5E5A"/>
                <w:sz w:val="18"/>
                <w:szCs w:val="18"/>
              </w:rPr>
              <w:t>[Fecha]</w:t>
            </w:r>
          </w:p>
        </w:tc>
      </w:tr>
    </w:tbl>
    <w:p w14:paraId="435FD921" w14:textId="77777777" w:rsidR="0086074B" w:rsidRDefault="0086074B"/>
    <w:sectPr w:rsidR="0086074B">
      <w:headerReference w:type="default" r:id="rId7"/>
      <w:footerReference w:type="default" r:id="rId8"/>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FA54C" w14:textId="77777777" w:rsidR="0086074B" w:rsidRDefault="0086074B">
      <w:r>
        <w:separator/>
      </w:r>
    </w:p>
  </w:endnote>
  <w:endnote w:type="continuationSeparator" w:id="0">
    <w:p w14:paraId="79C6F883" w14:textId="77777777" w:rsidR="0086074B" w:rsidRDefault="00860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2" w:type="dxa"/>
      <w:tblBorders>
        <w:top w:val="single" w:sz="8" w:space="0" w:color="185FA5"/>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472"/>
    </w:tblGrid>
    <w:tr w:rsidR="00340073" w14:paraId="435FD926" w14:textId="77777777">
      <w:tblPrEx>
        <w:tblCellMar>
          <w:top w:w="0" w:type="dxa"/>
          <w:bottom w:w="0" w:type="dxa"/>
        </w:tblCellMar>
      </w:tblPrEx>
      <w:tc>
        <w:tcPr>
          <w:tcW w:w="5500" w:type="dxa"/>
          <w:tcBorders>
            <w:top w:val="none" w:sz="0" w:space="0" w:color="FFFFFF"/>
            <w:left w:val="none" w:sz="0" w:space="0" w:color="FFFFFF"/>
            <w:bottom w:val="none" w:sz="0" w:space="0" w:color="FFFFFF"/>
            <w:right w:val="none" w:sz="0" w:space="0" w:color="FFFFFF"/>
          </w:tcBorders>
        </w:tcPr>
        <w:p w14:paraId="435FD924" w14:textId="77777777" w:rsidR="00340073" w:rsidRDefault="00000000">
          <w:r>
            <w:rPr>
              <w:rFonts w:ascii="Calibri" w:eastAsia="Calibri" w:hAnsi="Calibri" w:cs="Calibri"/>
              <w:color w:val="5F5E5A"/>
              <w:sz w:val="16"/>
              <w:szCs w:val="16"/>
            </w:rPr>
            <w:t xml:space="preserve">© Mauricio Vergara </w:t>
          </w:r>
          <w:proofErr w:type="gramStart"/>
          <w:r>
            <w:rPr>
              <w:rFonts w:ascii="Calibri" w:eastAsia="Calibri" w:hAnsi="Calibri" w:cs="Calibri"/>
              <w:color w:val="5F5E5A"/>
              <w:sz w:val="16"/>
              <w:szCs w:val="16"/>
            </w:rPr>
            <w:t>Manjarrés  ·</w:t>
          </w:r>
          <w:proofErr w:type="gramEnd"/>
          <w:r>
            <w:rPr>
              <w:rFonts w:ascii="Calibri" w:eastAsia="Calibri" w:hAnsi="Calibri" w:cs="Calibri"/>
              <w:color w:val="5F5E5A"/>
              <w:sz w:val="16"/>
              <w:szCs w:val="16"/>
            </w:rPr>
            <w:t xml:space="preserve">  Versión </w:t>
          </w:r>
          <w:proofErr w:type="gramStart"/>
          <w:r>
            <w:rPr>
              <w:rFonts w:ascii="Calibri" w:eastAsia="Calibri" w:hAnsi="Calibri" w:cs="Calibri"/>
              <w:color w:val="5F5E5A"/>
              <w:sz w:val="16"/>
              <w:szCs w:val="16"/>
            </w:rPr>
            <w:t>1.0  ·</w:t>
          </w:r>
          <w:proofErr w:type="gramEnd"/>
          <w:r>
            <w:rPr>
              <w:rFonts w:ascii="Calibri" w:eastAsia="Calibri" w:hAnsi="Calibri" w:cs="Calibri"/>
              <w:color w:val="5F5E5A"/>
              <w:sz w:val="16"/>
              <w:szCs w:val="16"/>
            </w:rPr>
            <w:t xml:space="preserve">  Plantilla 6.2</w:t>
          </w:r>
        </w:p>
      </w:tc>
      <w:tc>
        <w:tcPr>
          <w:tcW w:w="4472" w:type="dxa"/>
          <w:tcBorders>
            <w:top w:val="none" w:sz="0" w:space="0" w:color="FFFFFF"/>
            <w:left w:val="none" w:sz="0" w:space="0" w:color="FFFFFF"/>
            <w:bottom w:val="none" w:sz="0" w:space="0" w:color="FFFFFF"/>
            <w:right w:val="none" w:sz="0" w:space="0" w:color="FFFFFF"/>
          </w:tcBorders>
        </w:tcPr>
        <w:p w14:paraId="435FD925" w14:textId="43935933" w:rsidR="00340073" w:rsidRDefault="00000000">
          <w:pPr>
            <w:jc w:val="right"/>
          </w:pPr>
          <w:r>
            <w:rPr>
              <w:rFonts w:ascii="Calibri" w:eastAsia="Calibri" w:hAnsi="Calibri" w:cs="Calibri"/>
              <w:color w:val="5F5E5A"/>
              <w:sz w:val="16"/>
              <w:szCs w:val="16"/>
            </w:rPr>
            <w:t xml:space="preserve">Página </w:t>
          </w:r>
          <w:r>
            <w:rPr>
              <w:rFonts w:ascii="Calibri" w:eastAsia="Calibri" w:hAnsi="Calibri" w:cs="Calibri"/>
              <w:color w:val="5F5E5A"/>
              <w:sz w:val="16"/>
              <w:szCs w:val="16"/>
            </w:rPr>
            <w:fldChar w:fldCharType="begin"/>
          </w:r>
          <w:r>
            <w:rPr>
              <w:rFonts w:ascii="Calibri" w:eastAsia="Calibri" w:hAnsi="Calibri" w:cs="Calibri"/>
              <w:color w:val="5F5E5A"/>
              <w:sz w:val="16"/>
              <w:szCs w:val="16"/>
            </w:rPr>
            <w:instrText>PAGE</w:instrText>
          </w:r>
          <w:r>
            <w:rPr>
              <w:rFonts w:ascii="Calibri" w:eastAsia="Calibri" w:hAnsi="Calibri" w:cs="Calibri"/>
              <w:color w:val="5F5E5A"/>
              <w:sz w:val="16"/>
              <w:szCs w:val="16"/>
            </w:rPr>
            <w:fldChar w:fldCharType="separate"/>
          </w:r>
          <w:r w:rsidR="00FB2430">
            <w:rPr>
              <w:rFonts w:ascii="Calibri" w:eastAsia="Calibri" w:hAnsi="Calibri" w:cs="Calibri"/>
              <w:noProof/>
              <w:color w:val="5F5E5A"/>
              <w:sz w:val="16"/>
              <w:szCs w:val="16"/>
            </w:rPr>
            <w:t>1</w:t>
          </w:r>
          <w:r>
            <w:rPr>
              <w:rFonts w:ascii="Calibri" w:eastAsia="Calibri" w:hAnsi="Calibri" w:cs="Calibri"/>
              <w:color w:val="5F5E5A"/>
              <w:sz w:val="16"/>
              <w:szCs w:val="16"/>
            </w:rPr>
            <w:fldChar w:fldCharType="end"/>
          </w:r>
          <w:r>
            <w:rPr>
              <w:rFonts w:ascii="Calibri" w:eastAsia="Calibri" w:hAnsi="Calibri" w:cs="Calibri"/>
              <w:color w:val="5F5E5A"/>
              <w:sz w:val="16"/>
              <w:szCs w:val="16"/>
            </w:rPr>
            <w:t xml:space="preserve"> de </w:t>
          </w:r>
          <w:r>
            <w:rPr>
              <w:rFonts w:ascii="Calibri" w:eastAsia="Calibri" w:hAnsi="Calibri" w:cs="Calibri"/>
              <w:color w:val="5F5E5A"/>
              <w:sz w:val="16"/>
              <w:szCs w:val="16"/>
            </w:rPr>
            <w:fldChar w:fldCharType="begin"/>
          </w:r>
          <w:r>
            <w:rPr>
              <w:rFonts w:ascii="Calibri" w:eastAsia="Calibri" w:hAnsi="Calibri" w:cs="Calibri"/>
              <w:color w:val="5F5E5A"/>
              <w:sz w:val="16"/>
              <w:szCs w:val="16"/>
            </w:rPr>
            <w:instrText>NUMPAGES</w:instrText>
          </w:r>
          <w:r>
            <w:rPr>
              <w:rFonts w:ascii="Calibri" w:eastAsia="Calibri" w:hAnsi="Calibri" w:cs="Calibri"/>
              <w:color w:val="5F5E5A"/>
              <w:sz w:val="16"/>
              <w:szCs w:val="16"/>
            </w:rPr>
            <w:fldChar w:fldCharType="separate"/>
          </w:r>
          <w:r w:rsidR="00FB2430">
            <w:rPr>
              <w:rFonts w:ascii="Calibri" w:eastAsia="Calibri" w:hAnsi="Calibri" w:cs="Calibri"/>
              <w:noProof/>
              <w:color w:val="5F5E5A"/>
              <w:sz w:val="16"/>
              <w:szCs w:val="16"/>
            </w:rPr>
            <w:t>2</w:t>
          </w:r>
          <w:r>
            <w:rPr>
              <w:rFonts w:ascii="Calibri" w:eastAsia="Calibri" w:hAnsi="Calibri" w:cs="Calibri"/>
              <w:color w:val="5F5E5A"/>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F6DC8" w14:textId="77777777" w:rsidR="0086074B" w:rsidRDefault="0086074B">
      <w:r>
        <w:separator/>
      </w:r>
    </w:p>
  </w:footnote>
  <w:footnote w:type="continuationSeparator" w:id="0">
    <w:p w14:paraId="30A62697" w14:textId="77777777" w:rsidR="0086074B" w:rsidRDefault="008607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2" w:type="dxa"/>
      <w:tblBorders>
        <w:top w:val="none" w:sz="0" w:space="0" w:color="FFFFFF"/>
        <w:left w:val="none" w:sz="0" w:space="0" w:color="FFFFFF"/>
        <w:bottom w:val="single" w:sz="12" w:space="0" w:color="185FA5"/>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472"/>
    </w:tblGrid>
    <w:tr w:rsidR="00340073" w14:paraId="435FD923"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435FD921" w14:textId="77777777" w:rsidR="00340073" w:rsidRDefault="00000000">
          <w:r>
            <w:rPr>
              <w:rFonts w:ascii="Calibri" w:eastAsia="Calibri" w:hAnsi="Calibri" w:cs="Calibri"/>
              <w:b/>
              <w:bCs/>
              <w:color w:val="185FA5"/>
              <w:sz w:val="18"/>
              <w:szCs w:val="18"/>
            </w:rPr>
            <w:t>Ciberprotección para PyMES</w:t>
          </w:r>
        </w:p>
      </w:tc>
      <w:tc>
        <w:tcPr>
          <w:tcW w:w="3472" w:type="dxa"/>
          <w:tcBorders>
            <w:top w:val="none" w:sz="0" w:space="0" w:color="FFFFFF"/>
            <w:left w:val="none" w:sz="0" w:space="0" w:color="FFFFFF"/>
            <w:bottom w:val="none" w:sz="0" w:space="0" w:color="FFFFFF"/>
            <w:right w:val="none" w:sz="0" w:space="0" w:color="FFFFFF"/>
          </w:tcBorders>
        </w:tcPr>
        <w:p w14:paraId="435FD922" w14:textId="77777777" w:rsidR="00340073" w:rsidRDefault="00000000">
          <w:pPr>
            <w:jc w:val="right"/>
          </w:pPr>
          <w:r>
            <w:rPr>
              <w:rFonts w:ascii="Calibri" w:eastAsia="Calibri" w:hAnsi="Calibri" w:cs="Calibri"/>
              <w:color w:val="5F5E5A"/>
              <w:sz w:val="18"/>
              <w:szCs w:val="18"/>
            </w:rPr>
            <w:t>Procedimiento — Gestión de Buzones</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01796"/>
    <w:multiLevelType w:val="hybridMultilevel"/>
    <w:tmpl w:val="1584C6E0"/>
    <w:lvl w:ilvl="0" w:tplc="2D56CA0E">
      <w:start w:val="1"/>
      <w:numFmt w:val="bullet"/>
      <w:lvlText w:val="●"/>
      <w:lvlJc w:val="left"/>
      <w:pPr>
        <w:ind w:left="720" w:hanging="360"/>
      </w:pPr>
    </w:lvl>
    <w:lvl w:ilvl="1" w:tplc="0AEAF9FA">
      <w:start w:val="1"/>
      <w:numFmt w:val="bullet"/>
      <w:lvlText w:val="○"/>
      <w:lvlJc w:val="left"/>
      <w:pPr>
        <w:ind w:left="1440" w:hanging="360"/>
      </w:pPr>
    </w:lvl>
    <w:lvl w:ilvl="2" w:tplc="A294AAC8">
      <w:start w:val="1"/>
      <w:numFmt w:val="bullet"/>
      <w:lvlText w:val="■"/>
      <w:lvlJc w:val="left"/>
      <w:pPr>
        <w:ind w:left="2160" w:hanging="360"/>
      </w:pPr>
    </w:lvl>
    <w:lvl w:ilvl="3" w:tplc="28280A92">
      <w:start w:val="1"/>
      <w:numFmt w:val="bullet"/>
      <w:lvlText w:val="●"/>
      <w:lvlJc w:val="left"/>
      <w:pPr>
        <w:ind w:left="2880" w:hanging="360"/>
      </w:pPr>
    </w:lvl>
    <w:lvl w:ilvl="4" w:tplc="C89EEA44">
      <w:start w:val="1"/>
      <w:numFmt w:val="bullet"/>
      <w:lvlText w:val="○"/>
      <w:lvlJc w:val="left"/>
      <w:pPr>
        <w:ind w:left="3600" w:hanging="360"/>
      </w:pPr>
    </w:lvl>
    <w:lvl w:ilvl="5" w:tplc="D4EAA014">
      <w:start w:val="1"/>
      <w:numFmt w:val="bullet"/>
      <w:lvlText w:val="■"/>
      <w:lvlJc w:val="left"/>
      <w:pPr>
        <w:ind w:left="4320" w:hanging="360"/>
      </w:pPr>
    </w:lvl>
    <w:lvl w:ilvl="6" w:tplc="B5809A9A">
      <w:start w:val="1"/>
      <w:numFmt w:val="bullet"/>
      <w:lvlText w:val="●"/>
      <w:lvlJc w:val="left"/>
      <w:pPr>
        <w:ind w:left="5040" w:hanging="360"/>
      </w:pPr>
    </w:lvl>
    <w:lvl w:ilvl="7" w:tplc="9AAC2676">
      <w:start w:val="1"/>
      <w:numFmt w:val="bullet"/>
      <w:lvlText w:val="●"/>
      <w:lvlJc w:val="left"/>
      <w:pPr>
        <w:ind w:left="5760" w:hanging="360"/>
      </w:pPr>
    </w:lvl>
    <w:lvl w:ilvl="8" w:tplc="D774FDEC">
      <w:start w:val="1"/>
      <w:numFmt w:val="bullet"/>
      <w:lvlText w:val="●"/>
      <w:lvlJc w:val="left"/>
      <w:pPr>
        <w:ind w:left="6480" w:hanging="360"/>
      </w:pPr>
    </w:lvl>
  </w:abstractNum>
  <w:num w:numId="1" w16cid:durableId="1608660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073"/>
    <w:rsid w:val="00340073"/>
    <w:rsid w:val="003C1CDC"/>
    <w:rsid w:val="0086074B"/>
    <w:rsid w:val="00FB24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FD813"/>
  <w15:docId w15:val="{98AE4F26-3A99-4ED1-8FB5-D0B0CDDBB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2449</Words>
  <Characters>13474</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2026-06-06T20:26:00Z</dcterms:created>
  <dcterms:modified xsi:type="dcterms:W3CDTF">2026-06-06T20:28:00Z</dcterms:modified>
</cp:coreProperties>
</file>