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7C3AED"/>
          <w:sz w:val="18"/>
          <w:szCs w:val="18"/>
        </w:rPr>
        <w:t xml:space="preserve">HENRY · DATA SCIENCE · PIM1</w:t>
      </w:r>
    </w:p>
    <w:p>
      <w:pPr>
        <w:spacing w:after="120"/>
      </w:pPr>
      <w:r>
        <w:rPr>
          <w:b/>
          <w:bCs/>
          <w:color w:val="1A1A1A"/>
          <w:sz w:val="40"/>
          <w:szCs w:val="40"/>
        </w:rPr>
        <w:t xml:space="preserve">Proyecto Integrador — Conociendo al cliente 360°</w:t>
      </w:r>
    </w:p>
    <w:p>
      <w:pPr>
        <w:spacing w:after="40"/>
      </w:pPr>
      <w:r>
        <w:rPr>
          <w:color w:val="555555"/>
          <w:sz w:val="26"/>
          <w:szCs w:val="26"/>
        </w:rPr>
        <w:t xml:space="preserve">Recomendaciones — Propuestas de segmentación</w:t>
      </w:r>
    </w:p>
    <w:p>
      <w:pPr>
        <w:spacing w:after="40"/>
      </w:pPr>
      <w:r>
        <w:rPr>
          <w:color w:val="555555"/>
          <w:sz w:val="22"/>
          <w:szCs w:val="22"/>
        </w:rPr>
        <w:t xml:space="preserve">Basadas en los hallazgos de los Avances 1, 2 y 3</w:t>
      </w:r>
    </w:p>
    <w:p>
      <w:pPr>
        <w:spacing w:after="300"/>
      </w:pPr>
      <w:r>
        <w:rPr>
          <w:color w:val="555555"/>
          <w:sz w:val="22"/>
          <w:szCs w:val="22"/>
        </w:rPr>
        <w:t xml:space="preserve">Estudiante: Mauricio Vázquez</w:t>
      </w:r>
    </w:p>
    <w:p>
      <w:pPr>
        <w:pBdr>
          <w:bottom w:val="single" w:color="DDDDDD" w:sz="6" w:space="1"/>
        </w:pBdr>
        <w:spacing w:after="120" w:before="120"/>
      </w:pPr>
    </w:p>
    <w:p>
      <w:pPr>
        <w:pStyle w:val="Heading1"/>
        <w:pBdr>
          <w:bottom w:val="single" w:color="7C3AED" w:sz="12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Resumen ejecutivo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InsightReach cuenta con clientes activos en 10 ciudades. El análisis identificó a Miami como el mercado de mayor valor relativo (mayor gasto promedio y mayor proporción de membresía premium), y reveló que el estrato socioeconómico —más que la ciudad o la edad— es el mejor predictor de frecuencia de visita y de gasto. Se identificaron además brechas concretas entre lo que los clientes de Miami prefieren y lo que el mercado de restaurantes realmente ofrece, según datos de Yelp.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Las siguientes 8 recomendaciones traducen esos hallazgos en acciones concretas, ordenadas de mayor a menor prioridad, con el KPI sugerido para medir si cada acción está funcionando.</w:t>
      </w:r>
    </w:p>
    <w:p>
      <w:pPr>
        <w:pStyle w:val="Heading1"/>
        <w:pBdr>
          <w:bottom w:val="single" w:color="7C3AED" w:sz="12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Recomendaciones priorizadas</w:t>
      </w:r>
    </w:p>
    <w:p>
      <w:pPr>
        <w:spacing w:after="60" w:before="280"/>
      </w:pPr>
      <w:r>
        <w:rPr>
          <w:b/>
          <w:bCs/>
          <w:color w:val="1A1A1A"/>
          <w:sz w:val="23"/>
          <w:szCs w:val="23"/>
        </w:rPr>
        <w:t xml:space="preserve">1. Priorizar Miami como mercado de mayor valor en la asignación de presupuesto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7880"/>
            <w:shd w:fill="FDE6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Hallazgo base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Miami lidera el gasto promedio en restaurantes ($39.82 vs. $25.53-$37.12 en el resto de ciudades) y la proporción de clientes con membresía premium (53.2%, la única ciudad por encima del 50%).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Acción recomendada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Reasignar una porción mayor del presupuesto de marketing hacia campañas en Miami frente a su peso actual en número de clientes (3,186 de 30,000, solo el 10.6% de la base). El retorno esperado por cliente en Miami es más alto que el promedio.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Cómo medir éxito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% de presupuesto asignado a Miami vs. % de ingresos generados por Miami; debería converger o superar su peso en gasto total.</w:t>
            </w:r>
          </w:p>
        </w:tc>
      </w:tr>
    </w:tbl>
    <w:p>
      <w:pPr>
        <w:spacing w:after="60" w:before="280"/>
      </w:pPr>
      <w:r>
        <w:rPr>
          <w:b/>
          <w:bCs/>
          <w:color w:val="1A1A1A"/>
          <w:sz w:val="23"/>
          <w:szCs w:val="23"/>
        </w:rPr>
        <w:t xml:space="preserve">2. Cerrar la brecha de oferta premium en Miami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7880"/>
            <w:shd w:fill="FDE6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Hallazgo base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53.2% de los clientes de Miami tienen membresía premium (alto gasto), pero solo 1.5% de los restaurantes registrados en Yelp están en el rango de precio más alto ($$$$).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Acción recomendada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Buscar y onboardear activamente restaurantes de alta gama en Miami a la red de InsightReach (alianzas exclusivas, presencia destacada en la app). Si la oferta local es escasa, evaluar acuerdos con cadenas premium que aún no estén en el mercado.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Cómo medir éxito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Número de restaurantes $$$$ afiliados en Miami; tasa de conversión de clientes premium hacia esos restaurantes.</w:t>
            </w:r>
          </w:p>
        </w:tc>
      </w:tr>
    </w:tbl>
    <w:p>
      <w:pPr>
        <w:spacing w:after="60" w:before="280"/>
      </w:pPr>
      <w:r>
        <w:rPr>
          <w:b/>
          <w:bCs/>
          <w:color w:val="1A1A1A"/>
          <w:sz w:val="23"/>
          <w:szCs w:val="23"/>
        </w:rPr>
        <w:t xml:space="preserve">3. Impulsar alianzas con restaurantes de mariscos en Miami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7880"/>
            <w:shd w:fill="FDE6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Hallazgo base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26.9% de los clientes de Miami prefieren mariscos, pero solo 5.2% de los restaurantes de la ciudad son de esa categoría — la segunda brecha más amplia identificada.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Acción recomendada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Negociar posicionamiento destacado (banners, notificaciones push) para los restaurantes de mariscos existentes, y usar esta escasez como argumento de venta para atraer nuevos negocios de esa categoría a la plataforma.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Cómo medir éxito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Click-through rate de campañas de mariscos en Miami; número de nuevos restaurantes de mariscos afiliados.</w:t>
            </w:r>
          </w:p>
        </w:tc>
      </w:tr>
    </w:tbl>
    <w:p>
      <w:pPr>
        <w:spacing w:after="60" w:before="280"/>
      </w:pPr>
      <w:r>
        <w:rPr>
          <w:b/>
          <w:bCs/>
          <w:color w:val="1A1A1A"/>
          <w:sz w:val="23"/>
          <w:szCs w:val="23"/>
        </w:rPr>
        <w:t xml:space="preserve">4. Segmentar campañas por estrato socioeconómico, no solo por ciudad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7880"/>
            <w:shd w:fill="FDE6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Hallazgo base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La frecuencia de visita está fuertemente segmentada por estrato (Bajo: 0-3 visitas/mes, Muy Alto: 4-10), con rangos que casi no se solapan entre grupos — un patrón más fuerte que cualquier diferencia entre ciudades.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Acción recomendada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Diseñar mensajes y ofertas diferenciadas por estrato: cupones de bajo costo para incrementar frecuencia en estratos Bajo/Medio; programas de fidelización y contenido premium para Alto/Muy Alto.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Cómo medir éxito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Cambio en frecuencia de visita promedio por estrato, tras 3 meses de campaña segmentada.</w:t>
            </w:r>
          </w:p>
        </w:tc>
      </w:tr>
    </w:tbl>
    <w:p>
      <w:pPr>
        <w:spacing w:after="60" w:before="280"/>
      </w:pPr>
      <w:r>
        <w:rPr>
          <w:b/>
          <w:bCs/>
          <w:color w:val="1A1A1A"/>
          <w:sz w:val="23"/>
          <w:szCs w:val="23"/>
        </w:rPr>
        <w:t xml:space="preserve">5. Diseñar una campaña dedicada al segmento de mayor gasto, sin asumir una sola preferencia culinaria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7880"/>
            <w:shd w:fill="E5E7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Hallazgo base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El 10% de clientes con mayor gasto mensual estimado (2,986 personas, gasto promedio $677.82) está dominado por el estrato Muy Alto (94.3%), pero sus preferencias alimenticias están repartidas: Carnes (26.8%), Vegetariano (24.7%) y Mariscos (18.6%), sin una categoría dominante clara.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Acción recomendada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Evitar campañas de un solo tipo de cocina para este segmento; ofrecer un catálogo curado que cubra al menos las tres categorías principales, y personalizar la recomendación a nivel individual según preferencia declarada.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Cómo medir éxito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Tasa de apertura/conversión de la campaña premium, comparada entre las tres categorías de cocina ofrecidas.</w:t>
            </w:r>
          </w:p>
        </w:tc>
      </w:tr>
    </w:tbl>
    <w:p>
      <w:pPr>
        <w:spacing w:after="60" w:before="280"/>
      </w:pPr>
      <w:r>
        <w:rPr>
          <w:b/>
          <w:bCs/>
          <w:color w:val="1A1A1A"/>
          <w:sz w:val="23"/>
          <w:szCs w:val="23"/>
        </w:rPr>
        <w:t xml:space="preserve">6. Diversificar los canales de campaña en Miami en vez de concentrarse solo en digital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7880"/>
            <w:shd w:fill="E5E7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Hallazgo base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El método de pago en Miami está repartido entre Efectivo (38.3%), Tarjeta (32.3%) y App (27.4%), sin un canal dominante.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Acción recomendada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Mantener canales de campaña mixtos (notificaciones in-app y promociones físicas/impresas en punto de venta) en vez de migrar el presupuesto completo a digital, ya que casi 4 de cada 10 clientes aún operan principalmente en efectivo.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Cómo medir éxito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Tasa de redención de cupones por canal (digital vs. físico).</w:t>
            </w:r>
          </w:p>
        </w:tc>
      </w:tr>
    </w:tbl>
    <w:p>
      <w:pPr>
        <w:spacing w:after="60" w:before="280"/>
      </w:pPr>
      <w:r>
        <w:rPr>
          <w:b/>
          <w:bCs/>
          <w:color w:val="1A1A1A"/>
          <w:sz w:val="23"/>
          <w:szCs w:val="23"/>
        </w:rPr>
        <w:t xml:space="preserve">7. No usar el número de reseñas como proxy de calidad al recomendar negocios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7880"/>
            <w:shd w:fill="E5E7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Hallazgo base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La correlación entre número de reseñas (review_count) y calificación (rating) en Miami es de -0.18 — débil y negativa. Un restaurante popular no es necesariamente uno bien calificado.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Acción recomendada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Ajustar el motor de recomendación de InsightReach para ponderar la calificación (rating) por encima del volumen de reseñas, y revisar manualmente los negocios con calificaciones atípicas (outliers) antes de incluirlos o excluirlos de campañas destacadas.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Cómo medir éxito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Correlación entre las recomendaciones enviadas y la satisfacción reportada por el cliente (no solo el volumen de tráfico generado).</w:t>
            </w:r>
          </w:p>
        </w:tc>
      </w:tr>
    </w:tbl>
    <w:p>
      <w:pPr>
        <w:spacing w:after="60" w:before="280"/>
      </w:pPr>
      <w:r>
        <w:rPr>
          <w:b/>
          <w:bCs/>
          <w:color w:val="1A1A1A"/>
          <w:sz w:val="23"/>
          <w:szCs w:val="23"/>
        </w:rPr>
        <w:t xml:space="preserve">8. Mejorar la captura de datos de contacto y de precio antes de escalar campañas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7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Hallazgo base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Cerca del 50% de los clientes no tiene teléfono o correo electrónico registrado, y el 39% de los restaurantes de Miami en Yelp no reporta rango de precio — ambas limitaciones reducen la precisión de cualquier segmentación futura.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Acción recomendada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Incluir estos campos como parte del proceso de registro/actualización de perfil de cliente, e investigar directamente con los restaurantes sin precio reportado en Yelp para completar esa información en la base propia de InsightReach.</w:t>
            </w:r>
          </w:p>
        </w:tc>
      </w:tr>
      <w:tr>
        <w:tc>
          <w:tcPr>
            <w:tcW w:type="dxa" w:w="2200"/>
            <w:shd w:fill="7C3A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Cómo medir éxito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% de clientes con datos de contacto completos; % de restaurantes con precio confirmado, medido trimestralmente.</w:t>
            </w:r>
          </w:p>
        </w:tc>
      </w:tr>
    </w:tbl>
    <w:p>
      <w:pPr>
        <w:pStyle w:val="Heading1"/>
        <w:pBdr>
          <w:bottom w:val="single" w:color="7C3AED" w:sz="12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Próximos pasos sugeridos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Replicar el mismo marco metodológico (perfil de cliente + panorama de mercado vía Yelp) en una segunda ciudad candidata a expansión, para comparar contra Miami antes de decidir dónde invertir presupuesto adicional.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Monitorear trimestralmente los KPIs propuestos en cada recomendación para validar si las brechas identificadas (mariscos, segmento premium) se están cerrando.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Revisar manualmente los negocios identificados como outliers de calificación en Miami antes de la siguiente campaña destacada.</w:t>
      </w:r>
    </w:p>
    <w:p>
      <w:pPr>
        <w:pBdr>
          <w:bottom w:val="single" w:color="DDDDDD" w:sz="6" w:space="1"/>
        </w:pBdr>
        <w:spacing w:after="120" w:before="120"/>
      </w:pPr>
    </w:p>
    <w:p>
      <w:pPr>
        <w:spacing w:before="200"/>
      </w:pPr>
      <w:r>
        <w:rPr>
          <w:i/>
          <w:iCs/>
          <w:color w:val="555555"/>
          <w:sz w:val="19"/>
          <w:szCs w:val="19"/>
        </w:rPr>
        <w:t xml:space="preserve">Fin del documento. Recomendaciones basadas en los hallazgos documentados en README_Avances_1_2_3.docx.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360" w:hanging="260"/>
      </w:pPr>
      <w:rPr>
        <w:b/>
        <w:bCs/>
        <w:color w:val="7C3AE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2026-09-05T21:18:33.756Z</dcterms:created>
  <dcterms:modified xsi:type="dcterms:W3CDTF">2026-09-05T21:18:33.765Z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