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Avances del proyecto</w:t>
        <w:br/>
        <w:t>Minimarket</w:t>
      </w:r>
    </w:p>
    <w:p>
      <w:r>
        <w:t>Informe de entrega al equipo  |  22 de octubre de 2026</w:t>
      </w:r>
    </w:p>
    <w:p>
      <w:r>
        <w:t>El servicio integra productos, clientes, ventas y detalles de ventas. La aplicación funciona en Docker con una base MySQL persistente. Esta entrega incorpora la automatización de pruebas y se integra en develop para que el equipo continúe la preparación de la versión final.</w:t>
      </w:r>
    </w:p>
    <w:p>
      <w:pPr>
        <w:pStyle w:val="Heading1"/>
      </w:pPr>
      <w:r>
        <w:t>1. Qué está construido y comprobado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3572"/>
        <w:gridCol w:w="4479"/>
      </w:tblGrid>
      <w:tr>
        <w:trPr>
          <w:cantSplit/>
          <w:tblHeader/>
        </w:trPr>
        <w:tc>
          <w:tcPr>
            <w:tcW w:type="dxa" w:w="1701"/>
            <w:shd w:fill="17324D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/>
                <w:color w:val="FFFFFF"/>
                <w:sz w:val="19"/>
              </w:rPr>
              <w:t>Área</w:t>
            </w:r>
          </w:p>
        </w:tc>
        <w:tc>
          <w:tcPr>
            <w:tcW w:type="dxa" w:w="3572"/>
            <w:shd w:fill="17324D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/>
                <w:color w:val="FFFFFF"/>
                <w:sz w:val="19"/>
              </w:rPr>
              <w:t>Avance</w:t>
            </w:r>
          </w:p>
        </w:tc>
        <w:tc>
          <w:tcPr>
            <w:tcW w:type="dxa" w:w="4479"/>
            <w:shd w:fill="17324D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/>
                <w:color w:val="FFFFFF"/>
                <w:sz w:val="19"/>
              </w:rPr>
              <w:t>Evidencia / alcance</w:t>
            </w:r>
          </w:p>
        </w:tc>
      </w:tr>
      <w:tr>
        <w:trPr>
          <w:cantSplit/>
        </w:trPr>
        <w:tc>
          <w:tcPr>
            <w:tcW w:type="dxa" w:w="1701"/>
            <w:shd w:fill="F0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Código integrado</w:t>
            </w:r>
          </w:p>
        </w:tc>
        <w:tc>
          <w:tcPr>
            <w:tcW w:type="dxa" w:w="3572"/>
            <w:shd w:fill="F0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Los cuatro módulos forman una misma aplicación.</w:t>
            </w:r>
          </w:p>
        </w:tc>
        <w:tc>
          <w:tcPr>
            <w:tcW w:type="dxa" w:w="4479"/>
            <w:shd w:fill="F0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Rutas y persistencia disponibles en el mismo servicio.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Docker y MySQL</w:t>
            </w:r>
          </w:p>
        </w:tc>
        <w:tc>
          <w:tcPr>
            <w:tcW w:type="dxa" w:w="3572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Dos servicios con comprobación de salud.</w:t>
            </w:r>
          </w:p>
        </w:tc>
        <w:tc>
          <w:tcPr>
            <w:tcW w:type="dxa" w:w="4479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Aplicación en 8081; MySQL accesible por 13306.</w:t>
            </w:r>
          </w:p>
        </w:tc>
      </w:tr>
      <w:tr>
        <w:trPr>
          <w:cantSplit/>
        </w:trPr>
        <w:tc>
          <w:tcPr>
            <w:tcW w:type="dxa" w:w="1701"/>
            <w:shd w:fill="F0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Inventario</w:t>
            </w:r>
          </w:p>
        </w:tc>
        <w:tc>
          <w:tcPr>
            <w:tcW w:type="dxa" w:w="3572"/>
            <w:shd w:fill="F0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Ventas calculadas con precios reales y descuento de stock.</w:t>
            </w:r>
          </w:p>
        </w:tc>
        <w:tc>
          <w:tcPr>
            <w:tcW w:type="dxa" w:w="4479"/>
            <w:shd w:fill="F0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Venta de 2 unidades: stock 30 → 28; total 10.00.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Pruebas de Java</w:t>
            </w:r>
          </w:p>
        </w:tc>
        <w:tc>
          <w:tcPr>
            <w:tcW w:type="dxa" w:w="3572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24 pruebas sin fallos en la verificación local.</w:t>
            </w:r>
          </w:p>
        </w:tc>
        <w:tc>
          <w:tcPr>
            <w:tcW w:type="dxa" w:w="4479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Incluyen concurrencia, reversión y esquema anterior.</w:t>
            </w:r>
          </w:p>
        </w:tc>
      </w:tr>
      <w:tr>
        <w:trPr>
          <w:cantSplit/>
        </w:trPr>
        <w:tc>
          <w:tcPr>
            <w:tcW w:type="dxa" w:w="1701"/>
            <w:shd w:fill="F0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Prueba con MySQL</w:t>
            </w:r>
          </w:p>
        </w:tc>
        <w:tc>
          <w:tcPr>
            <w:tcW w:type="dxa" w:w="3572"/>
            <w:shd w:fill="F0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Cuatro módulos y persistencia comprobados.</w:t>
            </w:r>
          </w:p>
        </w:tc>
        <w:tc>
          <w:tcPr>
            <w:tcW w:type="dxa" w:w="4479"/>
            <w:shd w:fill="F0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Registros conservados después de reiniciar contenedores.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Workflow</w:t>
            </w:r>
          </w:p>
        </w:tc>
        <w:tc>
          <w:tcPr>
            <w:tcW w:type="dxa" w:w="3572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CI Minimarket implementado y validado sintácticamente.</w:t>
            </w:r>
          </w:p>
        </w:tc>
        <w:tc>
          <w:tcPr>
            <w:tcW w:type="dxa" w:w="4479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Su ejecución en GitHub se consulta en Actions por rama y commit.</w:t>
            </w:r>
          </w:p>
        </w:tc>
      </w:tr>
      <w:tr>
        <w:trPr>
          <w:cantSplit/>
        </w:trPr>
        <w:tc>
          <w:tcPr>
            <w:tcW w:type="dxa" w:w="1701"/>
            <w:shd w:fill="F0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Entrega en Git</w:t>
            </w:r>
          </w:p>
        </w:tc>
        <w:tc>
          <w:tcPr>
            <w:tcW w:type="dxa" w:w="3572"/>
            <w:shd w:fill="F0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Cambios integrados en la rama develop.</w:t>
            </w:r>
          </w:p>
        </w:tc>
        <w:tc>
          <w:tcPr>
            <w:tcW w:type="dxa" w:w="4479"/>
            <w:shd w:fill="F0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La publicación final en main queda para la siguiente etapa.</w:t>
            </w:r>
          </w:p>
        </w:tc>
      </w:tr>
    </w:tbl>
    <w:p/>
    <w:p>
      <w:pPr>
        <w:pStyle w:val="Heading1"/>
      </w:pPr>
      <w:r>
        <w:t>2. Cómo se relacionan las herramientas</w:t>
      </w:r>
    </w:p>
    <w:p>
      <w:r>
        <w:t>Postman envía una petición HTTP a la aplicación Java. Java aplica las reglas del negocio, consulta o modifica MySQL y devuelve una respuesta JSON a Postman.</w:t>
      </w:r>
    </w:p>
    <w:p>
      <w:pPr>
        <w:keepLines/>
        <w:spacing w:before="60" w:after="160" w:line="240" w:lineRule="auto"/>
        <w:shd w:fill="EFF4F7"/>
      </w:pPr>
      <w:r>
        <w:rPr>
          <w:rFonts w:ascii="Consolas" w:hAnsi="Consolas"/>
          <w:sz w:val="18"/>
        </w:rPr>
        <w:t>Postman → localhost:8081 → aplicación Java → db:3306 → MySQL</w:t>
      </w:r>
    </w:p>
    <w:p>
      <w:r>
        <w:t>Docker ejecuta la aplicación y MySQL en contenedores. Compose los inicia juntos. El volumen conserva la base. Gitflow organiza las ramas y GitHub Actions ejecuta las comprobaciones automáticas.</w:t>
      </w:r>
    </w:p>
    <w:p>
      <w:r>
        <w:br w:type="page"/>
      </w:r>
    </w:p>
    <w:p>
      <w:pPr>
        <w:pStyle w:val="Heading1"/>
      </w:pPr>
      <w:r>
        <w:t>3. Módulos y comportamiento de las APIs</w:t>
      </w:r>
    </w:p>
    <w:p>
      <w:r>
        <w:t>URL base de Docker: http://localhost:8081. En Postman el método se selecciona en el desplegable; en el campo de dirección se pega únicamente la URL.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3118"/>
        <w:gridCol w:w="4932"/>
      </w:tblGrid>
      <w:tr>
        <w:trPr>
          <w:cantSplit/>
          <w:tblHeader/>
        </w:trPr>
        <w:tc>
          <w:tcPr>
            <w:tcW w:type="dxa" w:w="1701"/>
            <w:shd w:fill="17324D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/>
                <w:color w:val="FFFFFF"/>
                <w:sz w:val="19"/>
              </w:rPr>
              <w:t>Módulo</w:t>
            </w:r>
          </w:p>
        </w:tc>
        <w:tc>
          <w:tcPr>
            <w:tcW w:type="dxa" w:w="3118"/>
            <w:shd w:fill="17324D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/>
                <w:color w:val="FFFFFF"/>
                <w:sz w:val="19"/>
              </w:rPr>
              <w:t>Ruta base</w:t>
            </w:r>
          </w:p>
        </w:tc>
        <w:tc>
          <w:tcPr>
            <w:tcW w:type="dxa" w:w="4932"/>
            <w:shd w:fill="17324D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/>
                <w:color w:val="FFFFFF"/>
                <w:sz w:val="19"/>
              </w:rPr>
              <w:t>Operaciones principales</w:t>
            </w:r>
          </w:p>
        </w:tc>
      </w:tr>
      <w:tr>
        <w:trPr>
          <w:cantSplit/>
        </w:trPr>
        <w:tc>
          <w:tcPr>
            <w:tcW w:type="dxa" w:w="1701"/>
            <w:shd w:fill="F0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Productos</w:t>
            </w:r>
          </w:p>
        </w:tc>
        <w:tc>
          <w:tcPr>
            <w:tcW w:type="dxa" w:w="3118"/>
            <w:shd w:fill="F0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/api/productos</w:t>
            </w:r>
          </w:p>
        </w:tc>
        <w:tc>
          <w:tcPr>
            <w:tcW w:type="dxa" w:w="4932"/>
            <w:shd w:fill="F0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Crear, listar, consultar por ID, actualizar y desactivar.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Clientes</w:t>
            </w:r>
          </w:p>
        </w:tc>
        <w:tc>
          <w:tcPr>
            <w:tcW w:type="dxa" w:w="3118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/api/v1/clientes</w:t>
            </w:r>
          </w:p>
        </w:tc>
        <w:tc>
          <w:tcPr>
            <w:tcW w:type="dxa" w:w="4932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Crear, listar, consultar, actualizar y eliminar.</w:t>
            </w:r>
          </w:p>
        </w:tc>
      </w:tr>
      <w:tr>
        <w:trPr>
          <w:cantSplit/>
        </w:trPr>
        <w:tc>
          <w:tcPr>
            <w:tcW w:type="dxa" w:w="1701"/>
            <w:shd w:fill="F0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Ventas</w:t>
            </w:r>
          </w:p>
        </w:tc>
        <w:tc>
          <w:tcPr>
            <w:tcW w:type="dxa" w:w="3118"/>
            <w:shd w:fill="F0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/api/ventas</w:t>
            </w:r>
          </w:p>
        </w:tc>
        <w:tc>
          <w:tcPr>
            <w:tcW w:type="dxa" w:w="4932"/>
            <w:shd w:fill="F0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Crear con detalles, listar, consultar y eliminar.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Detalles</w:t>
            </w:r>
          </w:p>
        </w:tc>
        <w:tc>
          <w:tcPr>
            <w:tcW w:type="dxa" w:w="3118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/api/detalle-ventas</w:t>
            </w:r>
          </w:p>
        </w:tc>
        <w:tc>
          <w:tcPr>
            <w:tcW w:type="dxa" w:w="4932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Consultar y crear detalles independientes.</w:t>
            </w:r>
          </w:p>
        </w:tc>
      </w:tr>
    </w:tbl>
    <w:p/>
    <w:p>
      <w:pPr>
        <w:pStyle w:val="Heading2"/>
      </w:pPr>
      <w:r>
        <w:t>Reglas de ventas implementadas</w:t>
      </w:r>
    </w:p>
    <w:p>
      <w:pPr>
        <w:pStyle w:val="ListBullet"/>
      </w:pPr>
      <w:r>
        <w:t>La API toma el precio del catálogo y calcula subtotal y total con BigDecimal. Los importes enviados por Postman no sustituyen al precio real.</w:t>
      </w:r>
    </w:p>
    <w:p>
      <w:pPr>
        <w:pStyle w:val="ListBullet"/>
      </w:pPr>
      <w:r>
        <w:t>Una venta válida descuenta inventario en una transacción. Si falla un detalle, se revierte toda la operación.</w:t>
      </w:r>
    </w:p>
    <w:p>
      <w:pPr>
        <w:pStyle w:val="ListBullet"/>
      </w:pPr>
      <w:r>
        <w:t>Se bloquean los productos durante ventas simultáneas para impedir vender más unidades de las disponibles.</w:t>
      </w:r>
    </w:p>
    <w:p>
      <w:pPr>
        <w:pStyle w:val="ListBullet"/>
      </w:pPr>
      <w:r>
        <w:t>Eliminar una venta nueva devuelve el stock que descontó. Las ventas antiguas conservan su tratamiento compatible, sin aumentar stock que nunca descontaron.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783"/>
        <w:gridCol w:w="3969"/>
      </w:tblGrid>
      <w:tr>
        <w:trPr>
          <w:cantSplit/>
          <w:tblHeader/>
        </w:trPr>
        <w:tc>
          <w:tcPr>
            <w:tcW w:type="dxa" w:w="5783"/>
            <w:shd w:fill="17324D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/>
                <w:color w:val="FFFFFF"/>
                <w:sz w:val="19"/>
              </w:rPr>
              <w:t>Caso comprobado</w:t>
            </w:r>
          </w:p>
        </w:tc>
        <w:tc>
          <w:tcPr>
            <w:tcW w:type="dxa" w:w="3969"/>
            <w:shd w:fill="17324D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/>
                <w:color w:val="FFFFFF"/>
                <w:sz w:val="19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5783"/>
            <w:shd w:fill="F0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Producto de 5.00, stock 30; venta de 2 unidades</w:t>
            </w:r>
          </w:p>
        </w:tc>
        <w:tc>
          <w:tcPr>
            <w:tcW w:type="dxa" w:w="3969"/>
            <w:shd w:fill="F0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201; total 10.00; stock 28.</w:t>
            </w:r>
          </w:p>
        </w:tc>
      </w:tr>
      <w:tr>
        <w:trPr>
          <w:cantSplit/>
        </w:trPr>
        <w:tc>
          <w:tcPr>
            <w:tcW w:type="dxa" w:w="5783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Intentar vender 29 unidades cuando quedan 28</w:t>
            </w:r>
          </w:p>
        </w:tc>
        <w:tc>
          <w:tcPr>
            <w:tcW w:type="dxa" w:w="3969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409; el stock permanece en 28.</w:t>
            </w:r>
          </w:p>
        </w:tc>
      </w:tr>
      <w:tr>
        <w:trPr>
          <w:cantSplit/>
        </w:trPr>
        <w:tc>
          <w:tcPr>
            <w:tcW w:type="dxa" w:w="5783"/>
            <w:shd w:fill="F0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Cantidad cero o negativa</w:t>
            </w:r>
          </w:p>
        </w:tc>
        <w:tc>
          <w:tcPr>
            <w:tcW w:type="dxa" w:w="3969"/>
            <w:shd w:fill="F0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400; no se registra la venta.</w:t>
            </w:r>
          </w:p>
        </w:tc>
      </w:tr>
      <w:tr>
        <w:trPr>
          <w:cantSplit/>
        </w:trPr>
        <w:tc>
          <w:tcPr>
            <w:tcW w:type="dxa" w:w="5783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Producto inexistente</w:t>
            </w:r>
          </w:p>
        </w:tc>
        <w:tc>
          <w:tcPr>
            <w:tcW w:type="dxa" w:w="3969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404.</w:t>
            </w:r>
          </w:p>
        </w:tc>
      </w:tr>
      <w:tr>
        <w:trPr>
          <w:cantSplit/>
        </w:trPr>
        <w:tc>
          <w:tcPr>
            <w:tcW w:type="dxa" w:w="5783"/>
            <w:shd w:fill="F0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Eliminar la venta creada en la prueba</w:t>
            </w:r>
          </w:p>
        </w:tc>
        <w:tc>
          <w:tcPr>
            <w:tcW w:type="dxa" w:w="3969"/>
            <w:shd w:fill="F0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204; stock restaurado a 30.</w:t>
            </w:r>
          </w:p>
        </w:tc>
      </w:tr>
    </w:tbl>
    <w:p/>
    <w:p>
      <w:pPr>
        <w:pStyle w:val="Heading2"/>
      </w:pPr>
      <w:r>
        <w:t>Comprobaciones realizadas</w:t>
      </w:r>
    </w:p>
    <w:p>
      <w:r>
        <w:t>Las 24 pruebas se reparten en ApiIntegrationTests (3), MinimarketApplicationTests (1), VentasIntegrationTests (19) y VentasLegacySchemaTests (1). El script scripts/probar_docker.py complementa esas pruebas contra las APIs con MySQL real.</w:t>
      </w:r>
    </w:p>
    <w:p>
      <w:r>
        <w:t>En la práctica manual se creó Arroz mediante Postman y se consultó por SQL: ID 2, precio 5.00 y stock 30. Ese ID pertenece a la base local; en otra instalación se utiliza el ID devuelto por el POST.</w:t>
      </w:r>
    </w:p>
    <w:p>
      <w:r>
        <w:br w:type="page"/>
      </w:r>
    </w:p>
    <w:p>
      <w:pPr>
        <w:pStyle w:val="Heading1"/>
      </w:pPr>
      <w:r>
        <w:t>4. Docker, datos y uso diario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6350"/>
      </w:tblGrid>
      <w:tr>
        <w:trPr>
          <w:cantSplit/>
          <w:tblHeader/>
        </w:trPr>
        <w:tc>
          <w:tcPr>
            <w:tcW w:type="dxa" w:w="3402"/>
            <w:shd w:fill="17324D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/>
                <w:color w:val="FFFFFF"/>
                <w:sz w:val="19"/>
              </w:rPr>
              <w:t>Elemento</w:t>
            </w:r>
          </w:p>
        </w:tc>
        <w:tc>
          <w:tcPr>
            <w:tcW w:type="dxa" w:w="6350"/>
            <w:shd w:fill="17324D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/>
                <w:color w:val="FFFFFF"/>
                <w:sz w:val="19"/>
              </w:rPr>
              <w:t>Configuración local</w:t>
            </w:r>
          </w:p>
        </w:tc>
      </w:tr>
      <w:tr>
        <w:trPr>
          <w:cantSplit/>
        </w:trPr>
        <w:tc>
          <w:tcPr>
            <w:tcW w:type="dxa" w:w="3402"/>
            <w:shd w:fill="F0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Grupo de Docker Compose</w:t>
            </w:r>
          </w:p>
        </w:tc>
        <w:tc>
          <w:tcPr>
            <w:tcW w:type="dxa" w:w="6350"/>
            <w:shd w:fill="F0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minimarket</w:t>
            </w:r>
          </w:p>
        </w:tc>
      </w:tr>
      <w:tr>
        <w:trPr>
          <w:cantSplit/>
        </w:trPr>
        <w:tc>
          <w:tcPr>
            <w:tcW w:type="dxa" w:w="3402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Aplicación</w:t>
            </w:r>
          </w:p>
        </w:tc>
        <w:tc>
          <w:tcPr>
            <w:tcW w:type="dxa" w:w="6350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Servicio app; puerto de Windows 8081 → puerto interno 8080.</w:t>
            </w:r>
          </w:p>
        </w:tc>
      </w:tr>
      <w:tr>
        <w:trPr>
          <w:cantSplit/>
        </w:trPr>
        <w:tc>
          <w:tcPr>
            <w:tcW w:type="dxa" w:w="3402"/>
            <w:shd w:fill="F0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Base de datos</w:t>
            </w:r>
          </w:p>
        </w:tc>
        <w:tc>
          <w:tcPr>
            <w:tcW w:type="dxa" w:w="6350"/>
            <w:shd w:fill="F0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Servicio db; contenedor minimarket-mysql; base minimarket.</w:t>
            </w:r>
          </w:p>
        </w:tc>
      </w:tr>
      <w:tr>
        <w:trPr>
          <w:cantSplit/>
        </w:trPr>
        <w:tc>
          <w:tcPr>
            <w:tcW w:type="dxa" w:w="3402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Acceso MySQL desde Windows</w:t>
            </w:r>
          </w:p>
        </w:tc>
        <w:tc>
          <w:tcPr>
            <w:tcW w:type="dxa" w:w="6350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127.0.0.1:13306 → puerto interno 3306.</w:t>
            </w:r>
          </w:p>
        </w:tc>
      </w:tr>
      <w:tr>
        <w:trPr>
          <w:cantSplit/>
        </w:trPr>
        <w:tc>
          <w:tcPr>
            <w:tcW w:type="dxa" w:w="3402"/>
            <w:shd w:fill="F0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Tablas</w:t>
            </w:r>
          </w:p>
        </w:tc>
        <w:tc>
          <w:tcPr>
            <w:tcW w:type="dxa" w:w="6350"/>
            <w:shd w:fill="F0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productos, clientes, ventas, detalle_ventas.</w:t>
            </w:r>
          </w:p>
        </w:tc>
      </w:tr>
      <w:tr>
        <w:trPr>
          <w:cantSplit/>
        </w:trPr>
        <w:tc>
          <w:tcPr>
            <w:tcW w:type="dxa" w:w="3402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Volumen de la práctica</w:t>
            </w:r>
          </w:p>
        </w:tc>
        <w:tc>
          <w:tcPr>
            <w:tcW w:type="dxa" w:w="6350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minimarket-datos, configurado como externo en .env.</w:t>
            </w:r>
          </w:p>
        </w:tc>
      </w:tr>
      <w:tr>
        <w:trPr>
          <w:cantSplit/>
        </w:trPr>
        <w:tc>
          <w:tcPr>
            <w:tcW w:type="dxa" w:w="3402"/>
            <w:shd w:fill="F0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Volumen para una instalación nueva</w:t>
            </w:r>
          </w:p>
        </w:tc>
        <w:tc>
          <w:tcPr>
            <w:tcW w:type="dxa" w:w="6350"/>
            <w:shd w:fill="F0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minimarket_mysql_data, administrado por Compose según .env.example.</w:t>
            </w:r>
          </w:p>
        </w:tc>
      </w:tr>
    </w:tbl>
    <w:p/>
    <w:p>
      <w:r>
        <w:t>Los puertos 3305 y 3307 estaban dentro del rango reservado 3252–3351 de Windows. Se eligió 13306. Las contraseñas se guardan en .env, que está excluido de Git; cada integrante define sus propias claves locales.</w:t>
      </w:r>
    </w:p>
    <w:p>
      <w:pPr>
        <w:pStyle w:val="Heading2"/>
      </w:pPr>
      <w:r>
        <w:t>Comandos desde la carpeta del proyecto</w:t>
      </w:r>
    </w:p>
    <w:p>
      <w:pPr>
        <w:keepLines/>
        <w:spacing w:before="60" w:after="160" w:line="240" w:lineRule="auto"/>
        <w:shd w:fill="EFF4F7"/>
      </w:pPr>
      <w:r>
        <w:rPr>
          <w:rFonts w:ascii="Consolas" w:hAnsi="Consolas"/>
          <w:sz w:val="18"/>
        </w:rPr>
        <w:t>docker compose up -d --build --wait --wait-timeout 300</w:t>
        <w:br/>
        <w:t>docker compose ps</w:t>
        <w:br/>
        <w:t>docker compose logs --tail 50 app</w:t>
        <w:br/>
        <w:t>docker compose stop</w:t>
        <w:br/>
        <w:t>docker compose up -d --wait</w:t>
      </w:r>
    </w:p>
    <w:p>
      <w:r>
        <w:t>El primer comando construye e inicia el servicio. Ambos contenedores deben quedar healthy. Para detenerlos conservando los datos, usa stop. Evita down -v sobre volúmenes administrados por Compose si necesitas conservar su contenido.</w:t>
      </w:r>
    </w:p>
    <w:p>
      <w:pPr>
        <w:pStyle w:val="Heading2"/>
      </w:pPr>
      <w:r>
        <w:t>Consultar las tablas desde Docker Desktop</w:t>
      </w:r>
    </w:p>
    <w:p>
      <w:r>
        <w:t>Abre el contenedor mysql y entra en Exec. Ejecuta el primer comando y, cuando aparezca mysql&gt;, ejecuta las instrucciones SQL.</w:t>
      </w:r>
    </w:p>
    <w:p>
      <w:pPr>
        <w:keepLines/>
        <w:spacing w:before="60" w:after="160" w:line="240" w:lineRule="auto"/>
        <w:shd w:fill="EFF4F7"/>
      </w:pPr>
      <w:r>
        <w:rPr>
          <w:rFonts w:ascii="Consolas" w:hAnsi="Consolas"/>
          <w:sz w:val="18"/>
        </w:rPr>
        <w:t>MYSQL_PWD="$MYSQL_PASSWORD" mysql -u minimarket minimarket</w:t>
        <w:br/>
        <w:br/>
        <w:t>SHOW TABLES;</w:t>
        <w:br/>
        <w:t>SELECT id, nombre, precio, stock FROM productos;</w:t>
      </w:r>
    </w:p>
    <w:p>
      <w:r>
        <w:t>La ejecución directa con Maven usa H2 y el puerto 8080. Docker usa MySQL y el puerto 8081. Los datos de H2 no se copiaron automáticamente a MySQL. El archivo data/minimarket.mv.db es binario y no se edita como código ni se sube al repositorio.</w:t>
      </w:r>
    </w:p>
    <w:p>
      <w:r>
        <w:br w:type="page"/>
      </w:r>
    </w:p>
    <w:p>
      <w:pPr>
        <w:pStyle w:val="Heading1"/>
      </w:pPr>
      <w:r>
        <w:t>5. Automatización y entrega en Git</w:t>
      </w:r>
    </w:p>
    <w:p>
      <w:pPr>
        <w:pStyle w:val="Heading2"/>
      </w:pPr>
      <w:r>
        <w:t>Workflow CI Minimarket</w:t>
      </w:r>
    </w:p>
    <w:p>
      <w:r>
        <w:t>Archivo: .github/workflows/ci.yml. Se activa con pushes a main, develop, feature/**, release/** y hotfix/**, y con Pull Requests hacia main, develop y release/**. La ejecución manual estará disponible cuando GitHub encuentre el workflow en la rama predeterminada.</w:t>
      </w:r>
    </w:p>
    <w:p>
      <w:pPr>
        <w:pStyle w:val="ListBullet"/>
      </w:pPr>
      <w:r>
        <w:t>Prepara Java 21 y ejecuta Maven verify para compilar, probar y empaquetar.</w:t>
      </w:r>
    </w:p>
    <w:p>
      <w:pPr>
        <w:pStyle w:val="ListBullet"/>
      </w:pPr>
      <w:r>
        <w:t>Genera claves temporales y un volumen nuevo para la ejecución de CI.</w:t>
      </w:r>
    </w:p>
    <w:p>
      <w:pPr>
        <w:pStyle w:val="ListBullet"/>
      </w:pPr>
      <w:r>
        <w:t>Construye la imagen e inicia la aplicación y MySQL con Docker Compose.</w:t>
      </w:r>
    </w:p>
    <w:p>
      <w:pPr>
        <w:pStyle w:val="ListBullet"/>
      </w:pPr>
      <w:r>
        <w:t>Prueba las cuatro APIs, los precios calculados y el control de stock.</w:t>
      </w:r>
    </w:p>
    <w:p>
      <w:pPr>
        <w:pStyle w:val="ListBullet"/>
      </w:pPr>
      <w:r>
        <w:t>Reinicia los contenedores y verifica la persistencia de los registros.</w:t>
      </w:r>
    </w:p>
    <w:p>
      <w:pPr>
        <w:pStyle w:val="ListBullet"/>
      </w:pPr>
      <w:r>
        <w:t>Guarda informes, logs y JAR durante siete días y limpia los recursos de CI.</w:t>
      </w:r>
    </w:p>
    <w:p>
      <w:r>
        <w:t>El runner está alojado en GitHub. Esta automatización comprueba el despliegue allí; no inicia contenedores en la PC del equipo. El despliegue automático local con un runner self-hosted queda condicionado a lo que confirme el profesor.</w:t>
      </w:r>
    </w:p>
    <w:p>
      <w:pPr>
        <w:pStyle w:val="Heading2"/>
      </w:pPr>
      <w:r>
        <w:t>Estado de entrega y continuidad</w:t>
      </w:r>
    </w:p>
    <w:p>
      <w:r>
        <w:t>La rama de trabajo de Mauricio es feature/productos-mauricio. La entrega de esta etapa se integra en develop conservando el historial. main es la versión de entrega final y todavía requiere la integración y validación descritas en el segundo documento.</w:t>
      </w:r>
    </w:p>
    <w:p>
      <w:r>
        <w:t>Antes de comenzar una tarea nueva, el equipo debe obtener develop actualizado y crear su propia rama feature. Los Pull Requests facilitan revisar y comprobar los cambios antes de integrarlos.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5216"/>
      </w:tblGrid>
      <w:tr>
        <w:trPr>
          <w:cantSplit/>
          <w:tblHeader/>
        </w:trPr>
        <w:tc>
          <w:tcPr>
            <w:tcW w:type="dxa" w:w="4535"/>
            <w:shd w:fill="17324D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/>
                <w:color w:val="FFFFFF"/>
                <w:sz w:val="19"/>
              </w:rPr>
              <w:t>Archivo</w:t>
            </w:r>
          </w:p>
        </w:tc>
        <w:tc>
          <w:tcPr>
            <w:tcW w:type="dxa" w:w="5216"/>
            <w:shd w:fill="17324D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/>
                <w:color w:val="FFFFFF"/>
                <w:sz w:val="19"/>
              </w:rPr>
              <w:t>Para qué sirve</w:t>
            </w:r>
          </w:p>
        </w:tc>
      </w:tr>
      <w:tr>
        <w:trPr>
          <w:cantSplit/>
        </w:trPr>
        <w:tc>
          <w:tcPr>
            <w:tcW w:type="dxa" w:w="4535"/>
            <w:shd w:fill="F0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README.md</w:t>
            </w:r>
          </w:p>
        </w:tc>
        <w:tc>
          <w:tcPr>
            <w:tcW w:type="dxa" w:w="5216"/>
            <w:shd w:fill="F0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Instrucciones actualizadas de ejecución, APIs y workflow.</w:t>
            </w:r>
          </w:p>
        </w:tc>
      </w:tr>
      <w:tr>
        <w:trPr>
          <w:cantSplit/>
        </w:trPr>
        <w:tc>
          <w:tcPr>
            <w:tcW w:type="dxa" w:w="4535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Dockerfile / compose.yaml / .env.example</w:t>
            </w:r>
          </w:p>
        </w:tc>
        <w:tc>
          <w:tcPr>
            <w:tcW w:type="dxa" w:w="5216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Construcción y configuración reproducible del entorno.</w:t>
            </w:r>
          </w:p>
        </w:tc>
      </w:tr>
      <w:tr>
        <w:trPr>
          <w:cantSplit/>
        </w:trPr>
        <w:tc>
          <w:tcPr>
            <w:tcW w:type="dxa" w:w="4535"/>
            <w:shd w:fill="F0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scripts/probar_docker.py</w:t>
            </w:r>
          </w:p>
        </w:tc>
        <w:tc>
          <w:tcPr>
            <w:tcW w:type="dxa" w:w="5216"/>
            <w:shd w:fill="F0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Prueba HTTP y comprobación de persistencia.</w:t>
            </w:r>
          </w:p>
        </w:tc>
      </w:tr>
      <w:tr>
        <w:trPr>
          <w:cantSplit/>
        </w:trPr>
        <w:tc>
          <w:tcPr>
            <w:tcW w:type="dxa" w:w="4535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02_Pendientes_Equipo_Minimarket.docx</w:t>
            </w:r>
          </w:p>
        </w:tc>
        <w:tc>
          <w:tcPr>
            <w:tcW w:type="dxa" w:w="5216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 w:val="0"/>
                <w:color w:val="17324D"/>
                <w:sz w:val="19"/>
              </w:rPr>
              <w:t>Plan de trabajo restante con responsables sugeridos y evidencias.</w:t>
            </w:r>
          </w:p>
        </w:tc>
      </w:tr>
    </w:tbl>
    <w:p/>
    <w:p>
      <w:pPr>
        <w:spacing w:after="100"/>
      </w:pPr>
      <w:r>
        <w:rPr>
          <w:b/>
        </w:rPr>
        <w:t xml:space="preserve">Repositorio / develop: </w:t>
      </w:r>
      <w:hyperlink r:id="rId11">
        <w:r>
          <w:rPr>
            <w:color w:val="007D83"/>
            <w:sz w:val="18"/>
          </w:rPr>
          <w:t>https://github.com/Mauricioo-RS/Proyecto-Herramientas-de-desarrollo/tree/develop</w:t>
        </w:r>
      </w:hyperlink>
    </w:p>
    <w:p>
      <w:pPr>
        <w:spacing w:after="100"/>
      </w:pPr>
      <w:r>
        <w:rPr>
          <w:b/>
        </w:rPr>
        <w:t xml:space="preserve">Ejecuciones del workflow: </w:t>
      </w:r>
      <w:hyperlink r:id="rId12">
        <w:r>
          <w:rPr>
            <w:color w:val="007D83"/>
            <w:sz w:val="18"/>
          </w:rPr>
          <w:t>https://github.com/Mauricioo-RS/Proyecto-Herramientas-de-desarrollo/actions</w:t>
        </w:r>
      </w:hyperlink>
    </w:p>
    <w:p>
      <w:pPr>
        <w:spacing w:after="100"/>
      </w:pPr>
      <w:r>
        <w:rPr>
          <w:b/>
        </w:rPr>
        <w:t xml:space="preserve">Referencia de GitHub Actions: </w:t>
      </w:r>
      <w:hyperlink r:id="rId13">
        <w:r>
          <w:rPr>
            <w:color w:val="007D83"/>
            <w:sz w:val="18"/>
          </w:rPr>
          <w:t>https://docs.github.com/en/actions/get-started/understand-github-actions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1020" w:left="107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26171"/>
        <w:sz w:val="16"/>
      </w:rPr>
      <w:t xml:space="preserve">Avances del proyecto  •  22/10/2026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26171"/>
        <w:sz w:val="16"/>
      </w:rPr>
      <w:t>UTP  /  MINIMARKET                                     HERRAMIENTAS DE DESARROLLO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1732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7D8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7D8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Calibri" w:hAnsi="Calibri"/>
      <w:color w:val="17324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Mauricioo-RS/Proyecto-Herramientas-de-desarrollo/tree/develop" TargetMode="External"/><Relationship Id="rId12" Type="http://schemas.openxmlformats.org/officeDocument/2006/relationships/hyperlink" Target="https://github.com/Mauricioo-RS/Proyecto-Herramientas-de-desarrollo/actions" TargetMode="External"/><Relationship Id="rId13" Type="http://schemas.openxmlformats.org/officeDocument/2006/relationships/hyperlink" Target="https://docs.github.com/en/actions/get-started/understand-github-ac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Avances del proyecto</dc:title>
  <dc:subject>Entrega del equipo: Docker, APIs, Gitflow y GitHub Actions</dc:subject>
  <dc:creator>Equipo Minimarket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es-PE</dc:language>
</cp:coreProperties>
</file>