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Pendientes para el equipo</w:t>
        <w:br/>
        <w:t>Minimarket</w:t>
      </w:r>
    </w:p>
    <w:p>
      <w:r>
        <w:t>Plan de continuidad y preparación de entrega  |  22 de octubre de 2026</w:t>
      </w:r>
    </w:p>
    <w:p>
      <w:r>
        <w:t>Punto de partida: usar develop actualizado, con Docker, MySQL, APIs y el workflow de CI ya implementados. No es necesario reconstruir esos componentes. El objetivo siguiente es demostrar el funcionamiento desde otra computadora, completar la evidencia en Postman y entregar una versión validada en main.</w:t>
      </w:r>
    </w:p>
    <w:p>
      <w:pPr>
        <w:pStyle w:val="Heading1"/>
      </w:pPr>
      <w:r>
        <w:t>1. Reparto de trabajo sugerido</w:t>
      </w:r>
    </w:p>
    <w:p>
      <w:r>
        <w:t>Los roles siguientes son una propuesta para que el equipo asigne nombres. No representan personas ya designadas.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2721"/>
        <w:gridCol w:w="1984"/>
        <w:gridCol w:w="4025"/>
      </w:tblGrid>
      <w:tr>
        <w:trPr>
          <w:cantSplit/>
          <w:tblHeader/>
        </w:trPr>
        <w:tc>
          <w:tcPr>
            <w:tcW w:type="dxa" w:w="1020"/>
            <w:shd w:fill="17324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19"/>
              </w:rPr>
              <w:t>Prioridad</w:t>
            </w:r>
          </w:p>
        </w:tc>
        <w:tc>
          <w:tcPr>
            <w:tcW w:type="dxa" w:w="2721"/>
            <w:shd w:fill="17324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19"/>
              </w:rPr>
              <w:t>Tarea</w:t>
            </w:r>
          </w:p>
        </w:tc>
        <w:tc>
          <w:tcPr>
            <w:tcW w:type="dxa" w:w="1984"/>
            <w:shd w:fill="17324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19"/>
              </w:rPr>
              <w:t>Rol sugerido</w:t>
            </w:r>
          </w:p>
        </w:tc>
        <w:tc>
          <w:tcPr>
            <w:tcW w:type="dxa" w:w="4025"/>
            <w:shd w:fill="17324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19"/>
              </w:rPr>
              <w:t>Se considera terminada cuando…</w:t>
            </w:r>
          </w:p>
        </w:tc>
      </w:tr>
      <w:tr>
        <w:trPr>
          <w:cantSplit/>
        </w:trPr>
        <w:tc>
          <w:tcPr>
            <w:tcW w:type="dxa" w:w="1020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1</w:t>
            </w:r>
          </w:p>
        </w:tc>
        <w:tc>
          <w:tcPr>
            <w:tcW w:type="dxa" w:w="2721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Arrancar develop en otra PC.</w:t>
            </w:r>
          </w:p>
        </w:tc>
        <w:tc>
          <w:tcPr>
            <w:tcW w:type="dxa" w:w="1984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Integración / Docker</w:t>
            </w:r>
          </w:p>
        </w:tc>
        <w:tc>
          <w:tcPr>
            <w:tcW w:type="dxa" w:w="4025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Ambos servicios están healthy y las cuatro APIs responden.</w:t>
            </w:r>
          </w:p>
        </w:tc>
      </w:tr>
      <w:tr>
        <w:trPr>
          <w:cantSplit/>
        </w:trPr>
        <w:tc>
          <w:tcPr>
            <w:tcW w:type="dxa" w:w="1020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1</w:t>
            </w:r>
          </w:p>
        </w:tc>
        <w:tc>
          <w:tcPr>
            <w:tcW w:type="dxa" w:w="272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Revisar Actions en cada entrega.</w:t>
            </w:r>
          </w:p>
        </w:tc>
        <w:tc>
          <w:tcPr>
            <w:tcW w:type="dxa" w:w="198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Integración / CI</w:t>
            </w:r>
          </w:p>
        </w:tc>
        <w:tc>
          <w:tcPr>
            <w:tcW w:type="dxa" w:w="402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El job del commit exacto termina en verde y conserva informes.</w:t>
            </w:r>
          </w:p>
        </w:tc>
      </w:tr>
      <w:tr>
        <w:trPr>
          <w:cantSplit/>
        </w:trPr>
        <w:tc>
          <w:tcPr>
            <w:tcW w:type="dxa" w:w="1020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1</w:t>
            </w:r>
          </w:p>
        </w:tc>
        <w:tc>
          <w:tcPr>
            <w:tcW w:type="dxa" w:w="2721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Preparar colección de Postman.</w:t>
            </w:r>
          </w:p>
        </w:tc>
        <w:tc>
          <w:tcPr>
            <w:tcW w:type="dxa" w:w="1984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Pruebas / APIs</w:t>
            </w:r>
          </w:p>
        </w:tc>
        <w:tc>
          <w:tcPr>
            <w:tcW w:type="dxa" w:w="4025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Se exporta un JSON reutilizable con casos válidos e inválidos.</w:t>
            </w:r>
          </w:p>
        </w:tc>
      </w:tr>
      <w:tr>
        <w:trPr>
          <w:cantSplit/>
        </w:trPr>
        <w:tc>
          <w:tcPr>
            <w:tcW w:type="dxa" w:w="1020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1</w:t>
            </w:r>
          </w:p>
        </w:tc>
        <w:tc>
          <w:tcPr>
            <w:tcW w:type="dxa" w:w="272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Acordar el tipo de runner.</w:t>
            </w:r>
          </w:p>
        </w:tc>
        <w:tc>
          <w:tcPr>
            <w:tcW w:type="dxa" w:w="198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Coordinación</w:t>
            </w:r>
          </w:p>
        </w:tc>
        <w:tc>
          <w:tcPr>
            <w:tcW w:type="dxa" w:w="402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El profesor confirma si requiere despliegue automático en una PC.</w:t>
            </w:r>
          </w:p>
        </w:tc>
      </w:tr>
      <w:tr>
        <w:trPr>
          <w:cantSplit/>
        </w:trPr>
        <w:tc>
          <w:tcPr>
            <w:tcW w:type="dxa" w:w="1020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2</w:t>
            </w:r>
          </w:p>
        </w:tc>
        <w:tc>
          <w:tcPr>
            <w:tcW w:type="dxa" w:w="2721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Preparar release e integrar en main.</w:t>
            </w:r>
          </w:p>
        </w:tc>
        <w:tc>
          <w:tcPr>
            <w:tcW w:type="dxa" w:w="1984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Integración / revisión</w:t>
            </w:r>
          </w:p>
        </w:tc>
        <w:tc>
          <w:tcPr>
            <w:tcW w:type="dxa" w:w="4025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main tiene la versión aprobada y su propio CI correcto.</w:t>
            </w:r>
          </w:p>
        </w:tc>
      </w:tr>
      <w:tr>
        <w:trPr>
          <w:cantSplit/>
        </w:trPr>
        <w:tc>
          <w:tcPr>
            <w:tcW w:type="dxa" w:w="1020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2</w:t>
            </w:r>
          </w:p>
        </w:tc>
        <w:tc>
          <w:tcPr>
            <w:tcW w:type="dxa" w:w="272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Reunir evidencia y ensayar.</w:t>
            </w:r>
          </w:p>
        </w:tc>
        <w:tc>
          <w:tcPr>
            <w:tcW w:type="dxa" w:w="198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Todo el equipo</w:t>
            </w:r>
          </w:p>
        </w:tc>
        <w:tc>
          <w:tcPr>
            <w:tcW w:type="dxa" w:w="402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Cada integrante puede explicar y demostrar su parte.</w:t>
            </w:r>
          </w:p>
        </w:tc>
      </w:tr>
    </w:tbl>
    <w:p/>
    <w:p>
      <w:pPr>
        <w:pStyle w:val="Heading2"/>
      </w:pPr>
      <w:r>
        <w:t>Qué debe confirmarse con el profesor</w:t>
      </w:r>
    </w:p>
    <w:p>
      <w:pPr>
        <w:pStyle w:val="ListBullet"/>
      </w:pPr>
      <w:r>
        <w:t>Si basta con CI ejecutándose en GitHub más el servicio desplegado localmente con Compose, o si el workflow debe desplegar automáticamente en la PC.</w:t>
      </w:r>
    </w:p>
    <w:p>
      <w:pPr>
        <w:pStyle w:val="ListBullet"/>
      </w:pPr>
      <w:r>
        <w:t>Si pide una rama release, una etiqueta de versión, una colección exportada o un formato concreto de evidencias. El plan propone estos entregables, pero no se dispone de una rúbrica escrita.</w:t>
      </w:r>
    </w:p>
    <w:p>
      <w:r>
        <w:t>La aplicación no tiene una interfaz web de caja: la demostración actual se realiza mediante APIs en Postman. Agregar una interfaz sería un alcance adicional.</w:t>
      </w:r>
    </w:p>
    <w:p>
      <w:r>
        <w:br w:type="page"/>
      </w:r>
    </w:p>
    <w:p>
      <w:pPr>
        <w:pStyle w:val="Heading1"/>
      </w:pPr>
      <w:r>
        <w:t>2. Levantar el proyecto en otra computadora</w:t>
      </w:r>
    </w:p>
    <w:p>
      <w:pPr>
        <w:pStyle w:val="Heading2"/>
      </w:pPr>
      <w:r>
        <w:t>Preparación</w:t>
      </w:r>
    </w:p>
    <w:p>
      <w:r>
        <w:t>Instalar Git y Docker Desktop, iniciar Docker con contenedores Linux y disponer de Postman. Java y Maven se ejecutan dentro de la imagen al construir con Docker. JDK 21 en Windows solo es necesario si se quiere ejecutar Maven directamente.</w:t>
      </w:r>
    </w:p>
    <w:p>
      <w:r>
        <w:t>En una carpeta de trabajo nueva:</w:t>
      </w:r>
    </w:p>
    <w:p>
      <w:pPr>
        <w:keepLines/>
        <w:spacing w:before="60" w:after="160" w:line="240" w:lineRule="auto"/>
        <w:shd w:fill="EFF4F7"/>
      </w:pPr>
      <w:r>
        <w:rPr>
          <w:rFonts w:ascii="Consolas" w:hAnsi="Consolas"/>
          <w:sz w:val="18"/>
        </w:rPr>
        <w:t>git clone -b develop https://github.com/Mauricioo-RS/Proyecto-Herramientas-de-desarrollo.git</w:t>
        <w:br/>
        <w:t>cd Proyecto-Herramientas-de-desarrollo</w:t>
        <w:br/>
        <w:t>Copy-Item .env.example .env</w:t>
      </w:r>
    </w:p>
    <w:p>
      <w:r>
        <w:t>Editar .env y definir MYSQL_PASSWORD y MYSQL_ROOT_PASSWORD. Conservar MYSQL_VOLUME_EXTERNAL=false y el volumen por defecto para una instalación nueva. El volumen minimarket-datos pertenece a la práctica de Mauricio y no viaja por Git.</w:t>
      </w:r>
    </w:p>
    <w:p>
      <w:pPr>
        <w:keepLines/>
        <w:spacing w:before="60" w:after="160" w:line="240" w:lineRule="auto"/>
        <w:shd w:fill="EFF4F7"/>
      </w:pPr>
      <w:r>
        <w:rPr>
          <w:rFonts w:ascii="Consolas" w:hAnsi="Consolas"/>
          <w:sz w:val="18"/>
        </w:rPr>
        <w:t>docker compose up -d --build --wait --wait-timeout 300</w:t>
        <w:br/>
        <w:t>docker compose ps</w:t>
      </w:r>
    </w:p>
    <w:p>
      <w:r>
        <w:t>Abrir Postman y realizar GET a las cuatro rutas de la tabla. Pegar solo la URL, sin escribir GET dentro del campo de dirección.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937"/>
      </w:tblGrid>
      <w:tr>
        <w:trPr>
          <w:cantSplit/>
          <w:tblHeader/>
        </w:trPr>
        <w:tc>
          <w:tcPr>
            <w:tcW w:type="dxa" w:w="1814"/>
            <w:shd w:fill="17324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19"/>
              </w:rPr>
              <w:t>Módulo</w:t>
            </w:r>
          </w:p>
        </w:tc>
        <w:tc>
          <w:tcPr>
            <w:tcW w:type="dxa" w:w="7937"/>
            <w:shd w:fill="17324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19"/>
              </w:rPr>
              <w:t>URL</w:t>
            </w:r>
          </w:p>
        </w:tc>
      </w:tr>
      <w:tr>
        <w:trPr>
          <w:cantSplit/>
        </w:trPr>
        <w:tc>
          <w:tcPr>
            <w:tcW w:type="dxa" w:w="1814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Productos</w:t>
            </w:r>
          </w:p>
        </w:tc>
        <w:tc>
          <w:tcPr>
            <w:tcW w:type="dxa" w:w="7937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http://localhost:8081/api/productos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Clientes</w:t>
            </w:r>
          </w:p>
        </w:tc>
        <w:tc>
          <w:tcPr>
            <w:tcW w:type="dxa" w:w="793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http://localhost:8081/api/v1/clientes</w:t>
            </w:r>
          </w:p>
        </w:tc>
      </w:tr>
      <w:tr>
        <w:trPr>
          <w:cantSplit/>
        </w:trPr>
        <w:tc>
          <w:tcPr>
            <w:tcW w:type="dxa" w:w="1814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Ventas</w:t>
            </w:r>
          </w:p>
        </w:tc>
        <w:tc>
          <w:tcPr>
            <w:tcW w:type="dxa" w:w="7937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http://localhost:8081/api/ventas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Detalles</w:t>
            </w:r>
          </w:p>
        </w:tc>
        <w:tc>
          <w:tcPr>
            <w:tcW w:type="dxa" w:w="793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http://localhost:8081/api/detalle-ventas</w:t>
            </w:r>
          </w:p>
        </w:tc>
      </w:tr>
    </w:tbl>
    <w:p/>
    <w:p>
      <w:pPr>
        <w:pStyle w:val="Heading2"/>
      </w:pPr>
      <w:r>
        <w:t>Si algo falla</w:t>
      </w:r>
    </w:p>
    <w:p>
      <w:pPr>
        <w:pStyle w:val="ListBullet"/>
      </w:pPr>
      <w:r>
        <w:t>Revisar docker compose logs --tail 80 app y docker compose logs --tail 80 db. Guardar el error concreto para el integrante responsable.</w:t>
      </w:r>
    </w:p>
    <w:p>
      <w:pPr>
        <w:pStyle w:val="ListBullet"/>
      </w:pPr>
      <w:r>
        <w:t>Si un puerto de Windows está ocupado o reservado, cambiar APP_PORT o DB_PORT en .env. Actualizar la URL de Postman si se cambia APP_PORT.</w:t>
      </w:r>
    </w:p>
    <w:p>
      <w:pPr>
        <w:pStyle w:val="ListBullet"/>
      </w:pPr>
      <w:r>
        <w:t>Cambiar una contraseña en .env no cambia una cuenta ya creada en MySQL. Con un volumen existente se deben conservar las credenciales o cambiarlas dentro de MySQL.</w:t>
      </w:r>
    </w:p>
    <w:p>
      <w:pPr>
        <w:pStyle w:val="Heading2"/>
      </w:pPr>
      <w:r>
        <w:t>Prueba automática adicional</w:t>
      </w:r>
    </w:p>
    <w:p>
      <w:r>
        <w:t>Con Python 3 disponible, ejecutar python scripts/probar_docker.py. Crea sus propios registros, elimina su venta y cliente y desactiva su producto al terminar. No modifica el producto de la demostración manual.</w:t>
      </w:r>
    </w:p>
    <w:p>
      <w:r>
        <w:br w:type="page"/>
      </w:r>
    </w:p>
    <w:p>
      <w:pPr>
        <w:pStyle w:val="Heading1"/>
      </w:pPr>
      <w:r>
        <w:t>3. Colección de Postman para la demostración</w:t>
      </w:r>
    </w:p>
    <w:p>
      <w:r>
        <w:t>Crear una colección llamada Minimarket y usar baseUrl = http://localhost:8081. Guardar los IDs devueltos como productoId, clienteId y ventaId. No asumir que los registros empiezan en 1. Al terminar, exportar la colección a un archivo JSON y subirla en una rama feature.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3969"/>
        <w:gridCol w:w="4989"/>
      </w:tblGrid>
      <w:tr>
        <w:trPr>
          <w:cantSplit/>
          <w:tblHeader/>
        </w:trPr>
        <w:tc>
          <w:tcPr>
            <w:tcW w:type="dxa" w:w="794"/>
            <w:shd w:fill="17324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19"/>
              </w:rPr>
              <w:t>Orden</w:t>
            </w:r>
          </w:p>
        </w:tc>
        <w:tc>
          <w:tcPr>
            <w:tcW w:type="dxa" w:w="3969"/>
            <w:shd w:fill="17324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19"/>
              </w:rPr>
              <w:t>Petición</w:t>
            </w:r>
          </w:p>
        </w:tc>
        <w:tc>
          <w:tcPr>
            <w:tcW w:type="dxa" w:w="4989"/>
            <w:shd w:fill="17324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19"/>
              </w:rPr>
              <w:t>Qué debe comprobarse</w:t>
            </w:r>
          </w:p>
        </w:tc>
      </w:tr>
      <w:tr>
        <w:trPr>
          <w:cantSplit/>
        </w:trPr>
        <w:tc>
          <w:tcPr>
            <w:tcW w:type="dxa" w:w="794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1</w:t>
            </w:r>
          </w:p>
        </w:tc>
        <w:tc>
          <w:tcPr>
            <w:tcW w:type="dxa" w:w="3969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POST /api/productos</w:t>
            </w:r>
          </w:p>
        </w:tc>
        <w:tc>
          <w:tcPr>
            <w:tcW w:type="dxa" w:w="4989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201; producto de precio 5.00 y stock 30.</w:t>
            </w:r>
          </w:p>
        </w:tc>
      </w:tr>
      <w:tr>
        <w:trPr>
          <w:cantSplit/>
        </w:trPr>
        <w:tc>
          <w:tcPr>
            <w:tcW w:type="dxa" w:w="79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2</w:t>
            </w:r>
          </w:p>
        </w:tc>
        <w:tc>
          <w:tcPr>
            <w:tcW w:type="dxa" w:w="3969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GET /api/productos/{productoId}</w:t>
            </w:r>
          </w:p>
        </w:tc>
        <w:tc>
          <w:tcPr>
            <w:tcW w:type="dxa" w:w="4989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200; los datos coinciden con el POST.</w:t>
            </w:r>
          </w:p>
        </w:tc>
      </w:tr>
      <w:tr>
        <w:trPr>
          <w:cantSplit/>
        </w:trPr>
        <w:tc>
          <w:tcPr>
            <w:tcW w:type="dxa" w:w="794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3</w:t>
            </w:r>
          </w:p>
        </w:tc>
        <w:tc>
          <w:tcPr>
            <w:tcW w:type="dxa" w:w="3969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POST /api/v1/clientes</w:t>
            </w:r>
          </w:p>
        </w:tc>
        <w:tc>
          <w:tcPr>
            <w:tcW w:type="dxa" w:w="4989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201; DNI de 8 dígitos, nuevo para esta base.</w:t>
            </w:r>
          </w:p>
        </w:tc>
      </w:tr>
      <w:tr>
        <w:trPr>
          <w:cantSplit/>
        </w:trPr>
        <w:tc>
          <w:tcPr>
            <w:tcW w:type="dxa" w:w="79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4</w:t>
            </w:r>
          </w:p>
        </w:tc>
        <w:tc>
          <w:tcPr>
            <w:tcW w:type="dxa" w:w="3969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POST /api/ventas, cantidad 2</w:t>
            </w:r>
          </w:p>
        </w:tc>
        <w:tc>
          <w:tcPr>
            <w:tcW w:type="dxa" w:w="4989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201; subtotal y total 10.00; stock 28.</w:t>
            </w:r>
          </w:p>
        </w:tc>
      </w:tr>
      <w:tr>
        <w:trPr>
          <w:cantSplit/>
        </w:trPr>
        <w:tc>
          <w:tcPr>
            <w:tcW w:type="dxa" w:w="794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5</w:t>
            </w:r>
          </w:p>
        </w:tc>
        <w:tc>
          <w:tcPr>
            <w:tcW w:type="dxa" w:w="3969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GET venta y GET detalle-ventas</w:t>
            </w:r>
          </w:p>
        </w:tc>
        <w:tc>
          <w:tcPr>
            <w:tcW w:type="dxa" w:w="4989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200; producto, cantidad y precio correctos.</w:t>
            </w:r>
          </w:p>
        </w:tc>
      </w:tr>
      <w:tr>
        <w:trPr>
          <w:cantSplit/>
        </w:trPr>
        <w:tc>
          <w:tcPr>
            <w:tcW w:type="dxa" w:w="79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6</w:t>
            </w:r>
          </w:p>
        </w:tc>
        <w:tc>
          <w:tcPr>
            <w:tcW w:type="dxa" w:w="3969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POST venta de 29 unidades</w:t>
            </w:r>
          </w:p>
        </w:tc>
        <w:tc>
          <w:tcPr>
            <w:tcW w:type="dxa" w:w="4989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409; no cambia el stock ni se crea otra venta.</w:t>
            </w:r>
          </w:p>
        </w:tc>
      </w:tr>
      <w:tr>
        <w:trPr>
          <w:cantSplit/>
        </w:trPr>
        <w:tc>
          <w:tcPr>
            <w:tcW w:type="dxa" w:w="794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7</w:t>
            </w:r>
          </w:p>
        </w:tc>
        <w:tc>
          <w:tcPr>
            <w:tcW w:type="dxa" w:w="3969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POST venta de 0 unidades</w:t>
            </w:r>
          </w:p>
        </w:tc>
        <w:tc>
          <w:tcPr>
            <w:tcW w:type="dxa" w:w="4989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400; no cambia el inventario.</w:t>
            </w:r>
          </w:p>
        </w:tc>
      </w:tr>
      <w:tr>
        <w:trPr>
          <w:cantSplit/>
        </w:trPr>
        <w:tc>
          <w:tcPr>
            <w:tcW w:type="dxa" w:w="79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8</w:t>
            </w:r>
          </w:p>
        </w:tc>
        <w:tc>
          <w:tcPr>
            <w:tcW w:type="dxa" w:w="3969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DELETE /api/ventas/{ventaId}</w:t>
            </w:r>
          </w:p>
        </w:tc>
        <w:tc>
          <w:tcPr>
            <w:tcW w:type="dxa" w:w="4989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204; stock vuelve a 30. Segundo DELETE: 404.</w:t>
            </w:r>
          </w:p>
        </w:tc>
      </w:tr>
    </w:tbl>
    <w:p/>
    <w:p>
      <w:pPr>
        <w:pStyle w:val="Heading2"/>
      </w:pPr>
      <w:r>
        <w:t>Ejemplo: crear producto</w:t>
      </w:r>
    </w:p>
    <w:p>
      <w:pPr>
        <w:keepLines/>
        <w:spacing w:before="60" w:after="160" w:line="240" w:lineRule="auto"/>
        <w:shd w:fill="EFF4F7"/>
      </w:pPr>
      <w:r>
        <w:rPr>
          <w:rFonts w:ascii="Consolas" w:hAnsi="Consolas"/>
          <w:sz w:val="18"/>
        </w:rPr>
        <w:t>{</w:t>
        <w:br/>
        <w:t xml:space="preserve">  "nombre": "Arroz demo equipo",</w:t>
        <w:br/>
        <w:t xml:space="preserve">  "descripcion": "Bolsa de 1 kg",</w:t>
        <w:br/>
        <w:t xml:space="preserve">  "precio": 5.00, "stock": 30, "categoria": "Abarrotes"</w:t>
        <w:br/>
        <w:t>}</w:t>
      </w:r>
    </w:p>
    <w:p>
      <w:pPr>
        <w:pStyle w:val="Heading2"/>
      </w:pPr>
      <w:r>
        <w:t>Ejemplo: venta con el ID recibido</w:t>
      </w:r>
    </w:p>
    <w:p>
      <w:pPr>
        <w:keepLines/>
        <w:spacing w:before="60" w:after="160" w:line="240" w:lineRule="auto"/>
        <w:shd w:fill="EFF4F7"/>
      </w:pPr>
      <w:r>
        <w:rPr>
          <w:rFonts w:ascii="Consolas" w:hAnsi="Consolas"/>
          <w:sz w:val="18"/>
        </w:rPr>
        <w:t>{</w:t>
        <w:br/>
        <w:t xml:space="preserve">  "detalles": [</w:t>
        <w:br/>
        <w:t xml:space="preserve">    {"producto": {"id": {{productoId}}}, "cantidad": 2}</w:t>
        <w:br/>
        <w:t xml:space="preserve">  ]</w:t>
        <w:br/>
        <w:t>}</w:t>
      </w:r>
    </w:p>
    <w:p>
      <w:r>
        <w:t>Antes de enviar el segundo cuerpo, configurar productoId como variable numérica de la colección. No enviar precio ni total: la aplicación los calcula. Para clientes, enviar nombre, apellido, dni, email y telefono; usar datos de prueba, no información personal real.</w:t>
      </w:r>
    </w:p>
    <w:p>
      <w:r>
        <w:t>Evidencia a guardar: colección JSON y capturas del código HTTP y cuerpo de respuesta. Una lista vacía con 200 es válida en una base nueva; no demuestra por sí sola el ciclo completo de ventas.</w:t>
      </w:r>
    </w:p>
    <w:p>
      <w:r>
        <w:br w:type="page"/>
      </w:r>
    </w:p>
    <w:p>
      <w:pPr>
        <w:pStyle w:val="Heading1"/>
      </w:pPr>
      <w:r>
        <w:t>4. Gitflow, release y runner</w:t>
      </w:r>
    </w:p>
    <w:p>
      <w:pPr>
        <w:pStyle w:val="Heading2"/>
      </w:pPr>
      <w:r>
        <w:t>Trabajo diario del equipo</w:t>
      </w:r>
    </w:p>
    <w:p>
      <w:r>
        <w:t>Partir de develop actualizado y trabajar cada tarea en una rama propia. Si hay cambios sin guardar, hacer commit o apartarlos conscientemente antes de cambiar de rama; no borrarlos para forzar la actualización.</w:t>
      </w:r>
    </w:p>
    <w:p>
      <w:pPr>
        <w:keepLines/>
        <w:spacing w:before="60" w:after="160" w:line="240" w:lineRule="auto"/>
        <w:shd w:fill="EFF4F7"/>
      </w:pPr>
      <w:r>
        <w:rPr>
          <w:rFonts w:ascii="Consolas" w:hAnsi="Consolas"/>
          <w:sz w:val="18"/>
        </w:rPr>
        <w:t>git switch develop</w:t>
        <w:br/>
        <w:t>git pull --ff-only origin develop</w:t>
        <w:br/>
        <w:t>git switch -c feature/postman-equipo</w:t>
        <w:br/>
        <w:t># Realizar y comprobar la tarea</w:t>
        <w:br/>
        <w:t>git add &lt;archivos-de-la-tarea&gt;</w:t>
        <w:br/>
        <w:t>git commit -m "test: agregar coleccion Postman"</w:t>
        <w:br/>
        <w:t>git push -u origin feature/postman-equipo</w:t>
      </w:r>
    </w:p>
    <w:p>
      <w:r>
        <w:t>Crear un Pull Request hacia develop, pedir revisión a otro integrante y comprobar que CI Minimarket termina en verde para esos cambios. El ejemplo de git add requiere reemplazar el marcador por los archivos reales.</w:t>
      </w:r>
    </w:p>
    <w:p>
      <w:pPr>
        <w:pStyle w:val="Heading2"/>
      </w:pPr>
      <w:r>
        <w:t>Preparar la entrega final</w:t>
      </w:r>
    </w:p>
    <w:p>
      <w:pPr>
        <w:pStyle w:val="ListBullet"/>
      </w:pPr>
      <w:r>
        <w:t>Cuando las tareas prioritarias estén completas, crear release/v1.0.0 desde develop actualizado y cerrar las correcciones finales en esa rama.</w:t>
      </w:r>
    </w:p>
    <w:p>
      <w:pPr>
        <w:pStyle w:val="ListBullet"/>
      </w:pPr>
      <w:r>
        <w:t>Abrir un Pull Request de release/v1.0.0 hacia main. Aprobarlo con revisión, CI correcto y demostración local de esa misma versión.</w:t>
      </w:r>
    </w:p>
    <w:p>
      <w:pPr>
        <w:pStyle w:val="ListBullet"/>
      </w:pPr>
      <w:r>
        <w:t>Después de integrar, verificar el workflow de main, publicar la etiqueta v1.0.0 en el commit aprobado y devolver a develop cualquier corrección realizada en release.</w:t>
      </w:r>
    </w:p>
    <w:p>
      <w:pPr>
        <w:pStyle w:val="ListBullet"/>
      </w:pPr>
      <w:r>
        <w:t>Para un error urgente de la versión publicada, crear hotfix/... desde main y reintegrar la solución tanto en main como en develop.</w:t>
      </w:r>
    </w:p>
    <w:p>
      <w:pPr>
        <w:pStyle w:val="Heading2"/>
      </w:pPr>
      <w:r>
        <w:t>Si se exige despliegue automático local</w:t>
      </w:r>
    </w:p>
    <w:p>
      <w:r>
        <w:t>El workflow existente usa un runner de GitHub y elimina su entorno de prueba al terminar. Para que las peticiones de Postman lleguen a un servicio actualizado automáticamente en una PC, se necesita una etapa de despliegue adicional.</w:t>
      </w:r>
    </w:p>
    <w:p>
      <w:pPr>
        <w:pStyle w:val="ListBullet"/>
      </w:pPr>
      <w:r>
        <w:t>Elegir una PC responsable, registrar allí un runner self-hosted y comprobar que tiene acceso a Docker Desktop. La PC y Docker deben estar disponibles para ejecutar los trabajos.</w:t>
      </w:r>
    </w:p>
    <w:p>
      <w:pPr>
        <w:pStyle w:val="ListBullet"/>
      </w:pPr>
      <w:r>
        <w:t>Crear un workflow de despliegue para la versión aprobada de main, con claves locales fuera del repositorio y conservación del volumen. No ejecutar ese despliegue para cualquier Pull Request.</w:t>
      </w:r>
    </w:p>
    <w:p>
      <w:pPr>
        <w:pStyle w:val="ListBullet"/>
      </w:pPr>
      <w:r>
        <w:t>Comprobar en Postman la versión desplegada y que una actualización mantiene los datos. Documentar cómo recuperar la versión anterior si el despliegue falla.</w:t>
      </w:r>
    </w:p>
    <w:p>
      <w:pPr>
        <w:spacing w:after="100"/>
      </w:pPr>
      <w:r>
        <w:rPr>
          <w:b/>
        </w:rPr>
        <w:t xml:space="preserve">Referencia de runners propios: </w:t>
      </w:r>
      <w:hyperlink r:id="rId11">
        <w:r>
          <w:rPr>
            <w:color w:val="007D83"/>
            <w:sz w:val="18"/>
          </w:rPr>
          <w:t>https://docs.github.com/en/actions/concepts/runners/self-hosted-runners</w:t>
        </w:r>
      </w:hyperlink>
    </w:p>
    <w:p>
      <w:r>
        <w:br w:type="page"/>
      </w:r>
    </w:p>
    <w:p>
      <w:pPr>
        <w:pStyle w:val="Heading1"/>
      </w:pPr>
      <w:r>
        <w:t>5. Criterios de cierre y mejoras posteriores</w:t>
      </w:r>
    </w:p>
    <w:p>
      <w:pPr>
        <w:pStyle w:val="Heading2"/>
      </w:pPr>
      <w:r>
        <w:t>Evidencia mínima propuesta para la entrega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6746"/>
      </w:tblGrid>
      <w:tr>
        <w:trPr>
          <w:cantSplit/>
          <w:tblHeader/>
        </w:trPr>
        <w:tc>
          <w:tcPr>
            <w:tcW w:type="dxa" w:w="3005"/>
            <w:shd w:fill="17324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19"/>
              </w:rPr>
              <w:t>Comprobación</w:t>
            </w:r>
          </w:p>
        </w:tc>
        <w:tc>
          <w:tcPr>
            <w:tcW w:type="dxa" w:w="6746"/>
            <w:shd w:fill="17324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19"/>
              </w:rPr>
              <w:t>Evidencia que debe conservar el equipo</w:t>
            </w:r>
          </w:p>
        </w:tc>
      </w:tr>
      <w:tr>
        <w:trPr>
          <w:cantSplit/>
        </w:trPr>
        <w:tc>
          <w:tcPr>
            <w:tcW w:type="dxa" w:w="3005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Código final en main</w:t>
            </w:r>
          </w:p>
        </w:tc>
        <w:tc>
          <w:tcPr>
            <w:tcW w:type="dxa" w:w="6746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Enlace al commit de entrega y, si corresponde, etiqueta v1.0.0.</w:t>
            </w:r>
          </w:p>
        </w:tc>
      </w:tr>
      <w:tr>
        <w:trPr>
          <w:cantSplit/>
        </w:trPr>
        <w:tc>
          <w:tcPr>
            <w:tcW w:type="dxa" w:w="300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Workflow funcionando</w:t>
            </w:r>
          </w:p>
        </w:tc>
        <w:tc>
          <w:tcPr>
            <w:tcW w:type="dxa" w:w="6746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Ejecución verde de CI Minimarket sobre ese commit, con informes.</w:t>
            </w:r>
          </w:p>
        </w:tc>
      </w:tr>
      <w:tr>
        <w:trPr>
          <w:cantSplit/>
        </w:trPr>
        <w:tc>
          <w:tcPr>
            <w:tcW w:type="dxa" w:w="3005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Servicio local desplegado</w:t>
            </w:r>
          </w:p>
        </w:tc>
        <w:tc>
          <w:tcPr>
            <w:tcW w:type="dxa" w:w="6746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docker compose ps con aplicación y MySQL healthy.</w:t>
            </w:r>
          </w:p>
        </w:tc>
      </w:tr>
      <w:tr>
        <w:trPr>
          <w:cantSplit/>
        </w:trPr>
        <w:tc>
          <w:tcPr>
            <w:tcW w:type="dxa" w:w="300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APIs en Postman</w:t>
            </w:r>
          </w:p>
        </w:tc>
        <w:tc>
          <w:tcPr>
            <w:tcW w:type="dxa" w:w="6746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Colección exportada y respuestas de los cuatro módulos.</w:t>
            </w:r>
          </w:p>
        </w:tc>
      </w:tr>
      <w:tr>
        <w:trPr>
          <w:cantSplit/>
        </w:trPr>
        <w:tc>
          <w:tcPr>
            <w:tcW w:type="dxa" w:w="3005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Control de inventario</w:t>
            </w:r>
          </w:p>
        </w:tc>
        <w:tc>
          <w:tcPr>
            <w:tcW w:type="dxa" w:w="6746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Venta válida, stock descontado y rechazo por stock insuficiente.</w:t>
            </w:r>
          </w:p>
        </w:tc>
      </w:tr>
      <w:tr>
        <w:trPr>
          <w:cantSplit/>
        </w:trPr>
        <w:tc>
          <w:tcPr>
            <w:tcW w:type="dxa" w:w="300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Persistencia</w:t>
            </w:r>
          </w:p>
        </w:tc>
        <w:tc>
          <w:tcPr>
            <w:tcW w:type="dxa" w:w="6746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Consultar los mismos registros después de detener e iniciar.</w:t>
            </w:r>
          </w:p>
        </w:tc>
      </w:tr>
      <w:tr>
        <w:trPr>
          <w:cantSplit/>
        </w:trPr>
        <w:tc>
          <w:tcPr>
            <w:tcW w:type="dxa" w:w="3005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Otra computadora</w:t>
            </w:r>
          </w:p>
        </w:tc>
        <w:tc>
          <w:tcPr>
            <w:tcW w:type="dxa" w:w="6746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Un integrante arranca desde develop o la release sin copiar bases ni claves.</w:t>
            </w:r>
          </w:p>
        </w:tc>
      </w:tr>
      <w:tr>
        <w:trPr>
          <w:cantSplit/>
        </w:trPr>
        <w:tc>
          <w:tcPr>
            <w:tcW w:type="dxa" w:w="300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Participación del equipo</w:t>
            </w:r>
          </w:p>
        </w:tc>
        <w:tc>
          <w:tcPr>
            <w:tcW w:type="dxa" w:w="6746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Cada integrante explica su tarea, commits y pruebas.</w:t>
            </w:r>
          </w:p>
        </w:tc>
      </w:tr>
    </w:tbl>
    <w:p/>
    <w:p>
      <w:pPr>
        <w:pStyle w:val="Heading2"/>
      </w:pPr>
      <w:r>
        <w:t>Límites actuales del sistema</w:t>
      </w:r>
    </w:p>
    <w:p>
      <w:pPr>
        <w:pStyle w:val="ListBullet"/>
      </w:pPr>
      <w:r>
        <w:t>Los clientes todavía no están relacionados con las ventas. Calcular frecuencia de compra por cliente requeriría agregar esa relación y sus pruebas.</w:t>
      </w:r>
    </w:p>
    <w:p>
      <w:pPr>
        <w:pStyle w:val="ListBullet"/>
      </w:pPr>
      <w:r>
        <w:t>Crear un detalle independiente no descuenta inventario. Para registrar una venta completa se utiliza POST /api/ventas.</w:t>
      </w:r>
    </w:p>
    <w:p>
      <w:pPr>
        <w:pStyle w:val="ListBullet"/>
      </w:pPr>
      <w:r>
        <w:t>Las 24 pruebas cubren integración y reglas de inventario importantes, pero no garantizan todas las reglas comerciales de un minimarket.</w:t>
      </w:r>
    </w:p>
    <w:p>
      <w:pPr>
        <w:pStyle w:val="Heading2"/>
      </w:pPr>
      <w:r>
        <w:t>Mejoras opcionales, separadas de la entrega actual</w:t>
      </w:r>
    </w:p>
    <w:p>
      <w:pPr>
        <w:pStyle w:val="ListBullet"/>
      </w:pPr>
      <w:r>
        <w:t>Relacionar ventas con clientes, si la rúbrica incluye historial o frecuencia de compra.</w:t>
      </w:r>
    </w:p>
    <w:p>
      <w:pPr>
        <w:pStyle w:val="ListBullet"/>
      </w:pPr>
      <w:r>
        <w:t>Uniformar los errores de clientes inexistentes o DNI duplicado y agregar pruebas para esos casos.</w:t>
      </w:r>
    </w:p>
    <w:p>
      <w:pPr>
        <w:pStyle w:val="ListBullet"/>
      </w:pPr>
      <w:r>
        <w:t>Revisar autenticación, roles y otras funciones de negocio si forman parte del alcance confirmado por el profesor.</w:t>
      </w:r>
    </w:p>
    <w:p>
      <w:pPr>
        <w:pStyle w:val="Heading2"/>
      </w:pPr>
      <w:r>
        <w:t>Primera acción del equipo</w:t>
      </w:r>
    </w:p>
    <w:p>
      <w:r>
        <w:t>Asignar un responsable a cada tarea de la primera página y comenzar con la puesta en marcha desde develop en otra PC. En paralelo, el responsable de pruebas prepara la colección Postman. La integración a main se hace después de esa revisión conjunta.</w:t>
      </w:r>
    </w:p>
    <w:p>
      <w:pPr>
        <w:spacing w:after="100"/>
      </w:pPr>
      <w:r>
        <w:rPr>
          <w:b/>
        </w:rPr>
        <w:t xml:space="preserve">Repositorio / develop: </w:t>
      </w:r>
      <w:hyperlink r:id="rId12">
        <w:r>
          <w:rPr>
            <w:color w:val="007D83"/>
            <w:sz w:val="18"/>
          </w:rPr>
          <w:t>https://github.com/Mauricioo-RS/Proyecto-Herramientas-de-desarrollo/tree/develop</w:t>
        </w:r>
      </w:hyperlink>
    </w:p>
    <w:p>
      <w:pPr>
        <w:spacing w:after="100"/>
      </w:pPr>
      <w:r>
        <w:rPr>
          <w:b/>
        </w:rPr>
        <w:t xml:space="preserve">Actions: </w:t>
      </w:r>
      <w:hyperlink r:id="rId13">
        <w:r>
          <w:rPr>
            <w:color w:val="007D83"/>
            <w:sz w:val="18"/>
          </w:rPr>
          <w:t>https://github.com/Mauricioo-RS/Proyecto-Herramientas-de-desarrollo/actions</w:t>
        </w:r>
      </w:hyperlink>
    </w:p>
    <w:p>
      <w:pPr>
        <w:spacing w:after="100"/>
      </w:pPr>
      <w:r>
        <w:rPr>
          <w:b/>
        </w:rPr>
        <w:t xml:space="preserve">Referencia de volúmenes: </w:t>
      </w:r>
      <w:hyperlink r:id="rId14">
        <w:r>
          <w:rPr>
            <w:color w:val="007D83"/>
            <w:sz w:val="18"/>
          </w:rPr>
          <w:t>https://docs.docker.com/reference/compose-file/volumes/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26171"/>
        <w:sz w:val="16"/>
      </w:rPr>
      <w:t xml:space="preserve">Pendientes para el equipo  •  22/10/2026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171"/>
        <w:sz w:val="16"/>
      </w:rPr>
      <w:t>UTP  /  MINIMARKET                                     HERRAMIENTAS DE DESARROLLO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1732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7D8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7D8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github.com/en/actions/concepts/runners/self-hosted-runners" TargetMode="External"/><Relationship Id="rId12" Type="http://schemas.openxmlformats.org/officeDocument/2006/relationships/hyperlink" Target="https://github.com/Mauricioo-RS/Proyecto-Herramientas-de-desarrollo/tree/develop" TargetMode="External"/><Relationship Id="rId13" Type="http://schemas.openxmlformats.org/officeDocument/2006/relationships/hyperlink" Target="https://github.com/Mauricioo-RS/Proyecto-Herramientas-de-desarrollo/actions" TargetMode="External"/><Relationship Id="rId14" Type="http://schemas.openxmlformats.org/officeDocument/2006/relationships/hyperlink" Target="https://docs.docker.com/reference/compose-file/volum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Pendientes para el equipo</dc:title>
  <dc:subject>Entrega del equipo: Docker, APIs, Gitflow y GitHub Actions</dc:subject>
  <dc:creator>Equipo Minimarket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es-PE</dc:language>
</cp:coreProperties>
</file>