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Eyebrow"/>
      </w:pPr>
      <w:r>
        <w:rPr/>
        <w:t xml:space="preserve">GUÍA PRÁCTICA  /  01</w:t>
      </w:r>
    </w:p>
    <w:p>
      <w:pPr>
        <w:pStyle w:val="Title"/>
      </w:pPr>
      <w:r>
        <w:rPr/>
        <w:t xml:space="preserve">Entender nuestro minimarket</w:t>
      </w:r>
    </w:p>
    <w:p>
      <w:pPr>
        <w:pStyle w:val="Subtitle"/>
      </w:pPr>
      <w:r>
        <w:rPr/>
        <w:t xml:space="preserve">APIs · Postman · Docker · Gitflow · GitHub Actions</w:t>
      </w:r>
    </w:p>
    <w:p>
      <w:pPr>
        <w:pStyle w:val="Small"/>
      </w:pPr>
      <w:r>
        <w:rPr/>
        <w:t xml:space="preserve">Guía para Mauricio y su equipo | Estado revisado: 22 de octubre de 2026</w:t>
      </w:r>
    </w:p>
    <w:p>
      <w:pPr>
        <w:pStyle w:val="Callout"/>
      </w:pPr>
      <w:r>
        <w:rPr/>
        <w:t xml:space="preserve">Tu interpretación es correcta: la aplicación funciona con H2 y guarda los datos en data/minimarket.mv.db. Todavía no hemos preparado los contenedores de Docker ni el workflow.</w:t>
      </w:r>
    </w:p>
    <w:p>
      <w:pPr>
        <w:pStyle w:val="Heading1"/>
      </w:pPr>
      <w:r>
        <w:rPr/>
        <w:t xml:space="preserve">Qué estamos construyendo</w:t>
      </w:r>
    </w:p>
    <w:p>
      <w:pPr>
        <w:pStyle w:val="Normal"/>
      </w:pPr>
      <w:r>
        <w:rPr/>
        <w:t xml:space="preserve">El proyecto es el backend del minimarket: el programa Java que recibe solicitudes, comprueba los datos y realiza operaciones sobre productos, ventas y detalles de ventas. Spring Boot permite iniciarlo como un servicio HTTP.</w:t>
      </w:r>
    </w:p>
    <w:p>
      <w:pPr>
        <w:pStyle w:val="Normal"/>
      </w:pPr>
      <w:r>
        <w:rPr/>
        <w:t xml:space="preserve">Por ejemplo: enviamos los datos de un arroz, el programa los valida, los guarda y responde con el producto registrado y su identificador.</w:t>
      </w:r>
    </w:p>
    <w:p>
      <w:pPr>
        <w:pStyle w:val="Heading1"/>
      </w:pPr>
      <w:r>
        <w:rPr/>
        <w:t xml:space="preserve">Qué está listo y qué falta</w:t>
      </w:r>
    </w:p>
    <w:tbl>
      <w:tblPr>
        <w:tblW w:w="0" w:type="auto"/>
        <w:tblLayout w:type="fixed"/>
        <w:tblBorders>
          <w:top w:val="single" w:sz="4" w:color="D9E3EA"/>
          <w:bottom w:val="single" w:sz="4" w:color="D9E3EA"/>
          <w:insideH w:val="single" w:sz="4" w:color="D9E3EA"/>
        </w:tblBorders>
        <w:tblCellMar>
          <w:top w:w="90" w:type="dxa"/>
          <w:left w:w="110" w:type="dxa"/>
          <w:bottom w:w="90" w:type="dxa"/>
          <w:right w:w="110" w:type="dxa"/>
        </w:tblCellMar>
      </w:tblPr>
      <w:tblGrid>
        <w:gridCol w:w="2100"/>
        <w:gridCol w:w="7260"/>
      </w:tblGrid>
      <w:tr>
        <w:trPr>
          <w:cantSplit/>
          <w:tblHeader/>
        </w:trPr>
        <w:tc>
          <w:tcPr>
            <w:tcW w:w="2100" w:type="dxa"/>
            <w:shd w:fill="18354A"/>
            <w:vAlign w:val="center"/>
          </w:tcPr>
          <w:p>
            <w:pPr>
              <w:pStyle w:val="TableText"/>
            </w:pPr>
            <w:r>
              <w:rPr>
                <w:b/>
                <w:color w:val="FFFFFF"/>
              </w:rPr>
              <w:t xml:space="preserve">Parte</w:t>
            </w:r>
          </w:p>
        </w:tc>
        <w:tc>
          <w:tcPr>
            <w:tcW w:w="7260" w:type="dxa"/>
            <w:shd w:fill="18354A"/>
            <w:vAlign w:val="center"/>
          </w:tcPr>
          <w:p>
            <w:pPr>
              <w:pStyle w:val="TableText"/>
            </w:pPr>
            <w:r>
              <w:rPr>
                <w:b/>
                <w:color w:val="FFFFFF"/>
              </w:rPr>
              <w:t xml:space="preserve">Situación actual</w:t>
            </w:r>
          </w:p>
        </w:tc>
      </w:tr>
      <w:tr>
        <w:trPr>
          <w:cantSplit/>
        </w:trPr>
        <w:tc>
          <w:tcPr>
            <w:tcW w:w="2100" w:type="dxa"/>
            <w:shd w:fill="EFF5F8"/>
            <w:vAlign w:val="center"/>
          </w:tcPr>
          <w:p>
            <w:pPr>
              <w:pStyle w:val="TableText"/>
            </w:pPr>
            <w:r>
              <w:rPr>
                <w:color w:val="243B4A"/>
              </w:rPr>
              <w:t xml:space="preserve">Aplicación</w:t>
            </w:r>
          </w:p>
        </w:tc>
        <w:tc>
          <w:tcPr>
            <w:tcW w:w="7260" w:type="dxa"/>
            <w:shd w:fill="EFF5F8"/>
            <w:vAlign w:val="center"/>
          </w:tcPr>
          <w:p>
            <w:pPr>
              <w:pStyle w:val="TableText"/>
            </w:pPr>
            <w:r>
              <w:rPr>
                <w:color w:val="243B4A"/>
              </w:rPr>
              <w:t xml:space="preserve">Compila con Java 21. El servidor arrancó en el puerto 8080.</w:t>
            </w:r>
          </w:p>
        </w:tc>
      </w:tr>
      <w:tr>
        <w:trPr>
          <w:cantSplit/>
        </w:trPr>
        <w:tc>
          <w:tcPr>
            <w:tcW w:w="2100" w:type="dxa"/>
            <w:shd w:fill="FFFFFF"/>
            <w:vAlign w:val="center"/>
          </w:tcPr>
          <w:p>
            <w:pPr>
              <w:pStyle w:val="TableText"/>
            </w:pPr>
            <w:r>
              <w:rPr>
                <w:color w:val="243B4A"/>
              </w:rPr>
              <w:t xml:space="preserve">Base de datos</w:t>
            </w:r>
          </w:p>
        </w:tc>
        <w:tc>
          <w:tcPr>
            <w:tcW w:w="7260" w:type="dxa"/>
            <w:shd w:fill="FFFFFF"/>
            <w:vAlign w:val="center"/>
          </w:tcPr>
          <w:p>
            <w:pPr>
              <w:pStyle w:val="TableText"/>
            </w:pPr>
            <w:r>
              <w:rPr>
                <w:color w:val="243B4A"/>
              </w:rPr>
              <w:t xml:space="preserve">H2 funciona dentro de la aplicación. El archivo local conserva los datos.</w:t>
            </w:r>
          </w:p>
        </w:tc>
      </w:tr>
      <w:tr>
        <w:trPr>
          <w:cantSplit/>
        </w:trPr>
        <w:tc>
          <w:tcPr>
            <w:tcW w:w="2100" w:type="dxa"/>
            <w:shd w:fill="EFF5F8"/>
            <w:vAlign w:val="center"/>
          </w:tcPr>
          <w:p>
            <w:pPr>
              <w:pStyle w:val="TableText"/>
            </w:pPr>
            <w:r>
              <w:rPr>
                <w:color w:val="243B4A"/>
              </w:rPr>
              <w:t xml:space="preserve">Verificación</w:t>
            </w:r>
          </w:p>
        </w:tc>
        <w:tc>
          <w:tcPr>
            <w:tcW w:w="7260" w:type="dxa"/>
            <w:shd w:fill="EFF5F8"/>
            <w:vAlign w:val="center"/>
          </w:tcPr>
          <w:p>
            <w:pPr>
              <w:pStyle w:val="TableText"/>
            </w:pPr>
            <w:r>
              <w:rPr>
                <w:color w:val="243B4A"/>
              </w:rPr>
              <w:t xml:space="preserve">BUILD SUCCESS y dos pruebas aprobadas: arranque e integración HTTP básica de productos, ventas y detalles.</w:t>
            </w:r>
          </w:p>
        </w:tc>
      </w:tr>
      <w:tr>
        <w:trPr>
          <w:cantSplit/>
        </w:trPr>
        <w:tc>
          <w:tcPr>
            <w:tcW w:w="2100" w:type="dxa"/>
            <w:shd w:fill="FFFFFF"/>
            <w:vAlign w:val="center"/>
          </w:tcPr>
          <w:p>
            <w:pPr>
              <w:pStyle w:val="TableText"/>
            </w:pPr>
            <w:r>
              <w:rPr>
                <w:color w:val="243B4A"/>
              </w:rPr>
              <w:t xml:space="preserve">Git</w:t>
            </w:r>
          </w:p>
        </w:tc>
        <w:tc>
          <w:tcPr>
            <w:tcW w:w="7260" w:type="dxa"/>
            <w:shd w:fill="FFFFFF"/>
            <w:vAlign w:val="center"/>
          </w:tcPr>
          <w:p>
            <w:pPr>
              <w:pStyle w:val="TableText"/>
            </w:pPr>
            <w:r>
              <w:rPr>
                <w:color w:val="243B4A"/>
              </w:rPr>
              <w:t xml:space="preserve">Estás en feature/productos-mauricio. Se incorporó develop; las correcciones siguen locales, sin commit ni push.</w:t>
            </w:r>
          </w:p>
        </w:tc>
      </w:tr>
      <w:tr>
        <w:trPr>
          <w:cantSplit/>
        </w:trPr>
        <w:tc>
          <w:tcPr>
            <w:tcW w:w="2100" w:type="dxa"/>
            <w:shd w:fill="EFF5F8"/>
            <w:vAlign w:val="center"/>
          </w:tcPr>
          <w:p>
            <w:pPr>
              <w:pStyle w:val="TableText"/>
            </w:pPr>
            <w:r>
              <w:rPr>
                <w:color w:val="243B4A"/>
              </w:rPr>
              <w:t xml:space="preserve">Pendiente</w:t>
            </w:r>
          </w:p>
        </w:tc>
        <w:tc>
          <w:tcPr>
            <w:tcW w:w="7260" w:type="dxa"/>
            <w:shd w:fill="EFF5F8"/>
            <w:vAlign w:val="center"/>
          </w:tcPr>
          <w:p>
            <w:pPr>
              <w:pStyle w:val="TableText"/>
            </w:pPr>
            <w:r>
              <w:rPr>
                <w:color w:val="243B4A"/>
              </w:rPr>
              <w:t xml:space="preserve">Pruebas manuales en Postman, configuración de Docker, workflow y entrega validada en main.</w:t>
            </w:r>
          </w:p>
        </w:tc>
      </w:tr>
    </w:tbl>
    <w:p>
      <w:pPr>
        <w:pStyle w:val="Small"/>
      </w:pPr>
      <w:r>
        <w:rPr/>
        <w:t xml:space="preserve"/>
      </w:r>
    </w:p>
    <w:p>
      <w:pPr>
        <w:pStyle w:val="Heading1"/>
      </w:pPr>
      <w:r>
        <w:rPr/>
        <w:t xml:space="preserve">El siguiente paso</w:t>
      </w:r>
    </w:p>
    <w:p>
      <w:pPr>
        <w:pStyle w:val="Normal"/>
      </w:pPr>
      <w:r>
        <w:rPr/>
        <w:t xml:space="preserve">Probar la API desde Postman y guardar las peticiones en una colección. Primero comprobaremos productos; después, ventas y detalles. Esta guía incluye los pasos para empezar.</w:t>
      </w:r>
    </w:p>
    <w:p>
      <w:pPr>
        <w:pStyle w:val="Small"/>
      </w:pPr>
      <w:r>
        <w:rPr/>
        <w:t xml:space="preserve">Las pruebas aprobadas demuestran el funcionamiento básico. Todavía hace falta revisar las reglas de negocio y las demás operaciones antes de considerar lista toda la entrega.</w:t>
      </w:r>
    </w:p>
    <w:p>
      <w:pPr>
        <w:spacing w:after="0"/>
      </w:pPr>
      <w:r>
        <w:br w:type="page"/>
      </w:r>
    </w:p>
    <w:p>
      <w:pPr>
        <w:pStyle w:val="Eyebrow"/>
      </w:pPr>
      <w:r>
        <w:rPr/>
        <w:t xml:space="preserve">GUÍA PRÁCTICA  /  02</w:t>
      </w:r>
    </w:p>
    <w:p>
      <w:pPr>
        <w:pStyle w:val="Title"/>
      </w:pPr>
      <w:r>
        <w:rPr/>
        <w:t xml:space="preserve">Cómo se conectan las piezas</w:t>
      </w:r>
    </w:p>
    <w:p>
      <w:pPr>
        <w:pStyle w:val="Subtitle"/>
      </w:pPr>
      <w:r>
        <w:rPr/>
        <w:t xml:space="preserve">Una petición recorre la aplicación y vuelve con una respuesta.</w:t>
      </w:r>
    </w:p>
    <w:tbl>
      <w:tblPr>
        <w:tblW w:w="0" w:type="auto"/>
        <w:tblLayout w:type="fixed"/>
        <w:tblBorders>
          <w:top w:val="single" w:sz="4" w:color="D9E3EA"/>
          <w:bottom w:val="single" w:sz="4" w:color="D9E3EA"/>
          <w:insideH w:val="single" w:sz="4" w:color="D9E3EA"/>
        </w:tblBorders>
        <w:tblCellMar>
          <w:top w:w="90" w:type="dxa"/>
          <w:left w:w="110" w:type="dxa"/>
          <w:bottom w:w="90" w:type="dxa"/>
          <w:right w:w="110" w:type="dxa"/>
        </w:tblCellMar>
      </w:tblPr>
      <w:tblGrid>
        <w:gridCol w:w="2100"/>
        <w:gridCol w:w="7260"/>
      </w:tblGrid>
      <w:tr>
        <w:trPr>
          <w:cantSplit/>
          <w:tblHeader/>
        </w:trPr>
        <w:tc>
          <w:tcPr>
            <w:tcW w:w="2100" w:type="dxa"/>
            <w:shd w:fill="18354A"/>
            <w:vAlign w:val="center"/>
          </w:tcPr>
          <w:p>
            <w:pPr>
              <w:pStyle w:val="TableText"/>
            </w:pPr>
            <w:r>
              <w:rPr>
                <w:b/>
                <w:color w:val="FFFFFF"/>
              </w:rPr>
              <w:t xml:space="preserve">Concepto</w:t>
            </w:r>
          </w:p>
        </w:tc>
        <w:tc>
          <w:tcPr>
            <w:tcW w:w="7260" w:type="dxa"/>
            <w:shd w:fill="18354A"/>
            <w:vAlign w:val="center"/>
          </w:tcPr>
          <w:p>
            <w:pPr>
              <w:pStyle w:val="TableText"/>
            </w:pPr>
            <w:r>
              <w:rPr>
                <w:b/>
                <w:color w:val="FFFFFF"/>
              </w:rPr>
              <w:t xml:space="preserve">Qué significa en este proyecto</w:t>
            </w:r>
          </w:p>
        </w:tc>
      </w:tr>
      <w:tr>
        <w:trPr>
          <w:cantSplit/>
        </w:trPr>
        <w:tc>
          <w:tcPr>
            <w:tcW w:w="2100" w:type="dxa"/>
            <w:shd w:fill="EFF5F8"/>
            <w:vAlign w:val="center"/>
          </w:tcPr>
          <w:p>
            <w:pPr>
              <w:pStyle w:val="TableText"/>
            </w:pPr>
            <w:r>
              <w:rPr>
                <w:color w:val="243B4A"/>
              </w:rPr>
              <w:t xml:space="preserve">Backend</w:t>
            </w:r>
          </w:p>
        </w:tc>
        <w:tc>
          <w:tcPr>
            <w:tcW w:w="7260" w:type="dxa"/>
            <w:shd w:fill="EFF5F8"/>
            <w:vAlign w:val="center"/>
          </w:tcPr>
          <w:p>
            <w:pPr>
              <w:pStyle w:val="TableText"/>
            </w:pPr>
            <w:r>
              <w:rPr>
                <w:color w:val="243B4A"/>
              </w:rPr>
              <w:t xml:space="preserve">Tu programa Java/Spring Boot. Procesa las operaciones del minimarket.</w:t>
            </w:r>
          </w:p>
        </w:tc>
      </w:tr>
      <w:tr>
        <w:trPr>
          <w:cantSplit/>
        </w:trPr>
        <w:tc>
          <w:tcPr>
            <w:tcW w:w="2100" w:type="dxa"/>
            <w:shd w:fill="FFFFFF"/>
            <w:vAlign w:val="center"/>
          </w:tcPr>
          <w:p>
            <w:pPr>
              <w:pStyle w:val="TableText"/>
            </w:pPr>
            <w:r>
              <w:rPr>
                <w:color w:val="243B4A"/>
              </w:rPr>
              <w:t xml:space="preserve">API</w:t>
            </w:r>
          </w:p>
        </w:tc>
        <w:tc>
          <w:tcPr>
            <w:tcW w:w="7260" w:type="dxa"/>
            <w:shd w:fill="FFFFFF"/>
            <w:vAlign w:val="center"/>
          </w:tcPr>
          <w:p>
            <w:pPr>
              <w:pStyle w:val="TableText"/>
            </w:pPr>
            <w:r>
              <w:rPr>
                <w:color w:val="243B4A"/>
              </w:rPr>
              <w:t xml:space="preserve">La forma que ofrece el programa para que otros programas le soliciten operaciones.</w:t>
            </w:r>
          </w:p>
        </w:tc>
      </w:tr>
      <w:tr>
        <w:trPr>
          <w:cantSplit/>
        </w:trPr>
        <w:tc>
          <w:tcPr>
            <w:tcW w:w="2100" w:type="dxa"/>
            <w:shd w:fill="EFF5F8"/>
            <w:vAlign w:val="center"/>
          </w:tcPr>
          <w:p>
            <w:pPr>
              <w:pStyle w:val="TableText"/>
            </w:pPr>
            <w:r>
              <w:rPr>
                <w:color w:val="243B4A"/>
              </w:rPr>
              <w:t xml:space="preserve">Endpoint</w:t>
            </w:r>
          </w:p>
        </w:tc>
        <w:tc>
          <w:tcPr>
            <w:tcW w:w="7260" w:type="dxa"/>
            <w:shd w:fill="EFF5F8"/>
            <w:vAlign w:val="center"/>
          </w:tcPr>
          <w:p>
            <w:pPr>
              <w:pStyle w:val="TableText"/>
            </w:pPr>
            <w:r>
              <w:rPr>
                <w:color w:val="243B4A"/>
              </w:rPr>
              <w:t xml:space="preserve">Una operación concreta de la API: método y dirección, como GET /api/productos.</w:t>
            </w:r>
          </w:p>
        </w:tc>
      </w:tr>
      <w:tr>
        <w:trPr>
          <w:cantSplit/>
        </w:trPr>
        <w:tc>
          <w:tcPr>
            <w:tcW w:w="2100" w:type="dxa"/>
            <w:shd w:fill="FFFFFF"/>
            <w:vAlign w:val="center"/>
          </w:tcPr>
          <w:p>
            <w:pPr>
              <w:pStyle w:val="TableText"/>
            </w:pPr>
            <w:r>
              <w:rPr>
                <w:color w:val="243B4A"/>
              </w:rPr>
              <w:t xml:space="preserve">Postman</w:t>
            </w:r>
          </w:p>
        </w:tc>
        <w:tc>
          <w:tcPr>
            <w:tcW w:w="7260" w:type="dxa"/>
            <w:shd w:fill="FFFFFF"/>
            <w:vAlign w:val="center"/>
          </w:tcPr>
          <w:p>
            <w:pPr>
              <w:pStyle w:val="TableText"/>
            </w:pPr>
            <w:r>
              <w:rPr>
                <w:color w:val="243B4A"/>
              </w:rPr>
              <w:t xml:space="preserve">La herramienta con la que envías peticiones y revisas respuestas para probar la API.</w:t>
            </w:r>
          </w:p>
        </w:tc>
      </w:tr>
      <w:tr>
        <w:trPr>
          <w:cantSplit/>
        </w:trPr>
        <w:tc>
          <w:tcPr>
            <w:tcW w:w="2100" w:type="dxa"/>
            <w:shd w:fill="EFF5F8"/>
            <w:vAlign w:val="center"/>
          </w:tcPr>
          <w:p>
            <w:pPr>
              <w:pStyle w:val="TableText"/>
            </w:pPr>
            <w:r>
              <w:rPr>
                <w:color w:val="243B4A"/>
              </w:rPr>
              <w:t xml:space="preserve">Base de datos</w:t>
            </w:r>
          </w:p>
        </w:tc>
        <w:tc>
          <w:tcPr>
            <w:tcW w:w="7260" w:type="dxa"/>
            <w:shd w:fill="EFF5F8"/>
            <w:vAlign w:val="center"/>
          </w:tcPr>
          <w:p>
            <w:pPr>
              <w:pStyle w:val="TableText"/>
            </w:pPr>
            <w:r>
              <w:rPr>
                <w:color w:val="243B4A"/>
              </w:rPr>
              <w:t xml:space="preserve">El lugar donde se conservan los productos, las ventas y sus detalles.</w:t>
            </w:r>
          </w:p>
        </w:tc>
      </w:tr>
      <w:tr>
        <w:trPr>
          <w:cantSplit/>
        </w:trPr>
        <w:tc>
          <w:tcPr>
            <w:tcW w:w="2100" w:type="dxa"/>
            <w:shd w:fill="FFFFFF"/>
            <w:vAlign w:val="center"/>
          </w:tcPr>
          <w:p>
            <w:pPr>
              <w:pStyle w:val="TableText"/>
            </w:pPr>
            <w:r>
              <w:rPr>
                <w:color w:val="243B4A"/>
              </w:rPr>
              <w:t xml:space="preserve">JSON</w:t>
            </w:r>
          </w:p>
        </w:tc>
        <w:tc>
          <w:tcPr>
            <w:tcW w:w="7260" w:type="dxa"/>
            <w:shd w:fill="FFFFFF"/>
            <w:vAlign w:val="center"/>
          </w:tcPr>
          <w:p>
            <w:pPr>
              <w:pStyle w:val="TableText"/>
            </w:pPr>
            <w:r>
              <w:rPr>
                <w:color w:val="243B4A"/>
              </w:rPr>
              <w:t xml:space="preserve">El formato de texto con campos y valores que usamos para enviar y recibir datos.</w:t>
            </w:r>
          </w:p>
        </w:tc>
      </w:tr>
    </w:tbl>
    <w:p>
      <w:pPr>
        <w:pStyle w:val="Small"/>
      </w:pPr>
      <w:r>
        <w:rPr/>
        <w:t xml:space="preserve"/>
      </w:r>
    </w:p>
    <w:p>
      <w:pPr>
        <w:pStyle w:val="Callout"/>
      </w:pPr>
      <w:r>
        <w:rPr/>
        <w:t xml:space="preserve">Postman → API del minimarket → Base de datos H2</w:t>
        <w:br/>
        <w:t xml:space="preserve">Postman ← Respuesta de la API ← Datos consultados o guardados</w:t>
      </w:r>
    </w:p>
    <w:p>
      <w:pPr>
        <w:pStyle w:val="Heading1"/>
      </w:pPr>
      <w:r>
        <w:rPr/>
        <w:t xml:space="preserve">Qué hace cada parte del código</w:t>
      </w:r>
    </w:p>
    <w:p>
      <w:pPr>
        <w:pStyle w:val="Normal"/>
      </w:pPr>
      <w:r>
        <w:rPr/>
        <w:t xml:space="preserve">1. El controlador recibe la petición HTTP. ProductoController atiende las direcciones que empiezan con /api/productos.</w:t>
      </w:r>
    </w:p>
    <w:p>
      <w:pPr>
        <w:pStyle w:val="Normal"/>
      </w:pPr>
      <w:r>
        <w:rPr/>
        <w:t xml:space="preserve">2. El servicio realiza las operaciones y comprobaciones. ProductoService organiza la creación, consulta, actualización y desactivación.</w:t>
      </w:r>
    </w:p>
    <w:p>
      <w:pPr>
        <w:pStyle w:val="Normal"/>
      </w:pPr>
      <w:r>
        <w:rPr/>
        <w:t xml:space="preserve">3. El repositorio guarda o consulta los datos mediante JPA. ProductoRepository conecta esas operaciones con la persistencia.</w:t>
      </w:r>
    </w:p>
    <w:p>
      <w:pPr>
        <w:pStyle w:val="Normal"/>
      </w:pPr>
      <w:r>
        <w:rPr/>
        <w:t xml:space="preserve">4. La entidad describe los datos guardados. Producto contiene nombre, precio, stock, categoría y otros campos.</w:t>
      </w:r>
    </w:p>
    <w:p>
      <w:pPr>
        <w:pStyle w:val="Heading1"/>
      </w:pPr>
      <w:r>
        <w:rPr/>
        <w:t xml:space="preserve">Qué significa localhost:8080</w:t>
      </w:r>
    </w:p>
    <w:p>
      <w:pPr>
        <w:pStyle w:val="Normal"/>
      </w:pPr>
      <w:r>
        <w:rPr/>
        <w:t xml:space="preserve">localhost es tu propia computadora. 8080 es el puerto por el que la aplicación atiende peticiones. La dirección completa de productos es http://localhost:8080/api/productos.</w:t>
      </w:r>
    </w:p>
    <w:p>
      <w:pPr>
        <w:pStyle w:val="Normal"/>
      </w:pPr>
      <w:r>
        <w:rPr/>
        <w:t xml:space="preserve">La terminal permanece ocupada mientras el servicio está activo: está esperando peticiones. Las líneas “Tomcat started on port 8080” y “Started MinimarketApplication” indican que terminó el arranque. Ctrl+C detiene el servicio.</w:t>
      </w:r>
    </w:p>
    <w:p>
      <w:pPr>
        <w:spacing w:after="0"/>
      </w:pPr>
      <w:r>
        <w:br w:type="page"/>
      </w:r>
    </w:p>
    <w:p>
      <w:pPr>
        <w:pStyle w:val="Eyebrow"/>
      </w:pPr>
      <w:r>
        <w:rPr/>
        <w:t xml:space="preserve">GUÍA PRÁCTICA  /  03</w:t>
      </w:r>
    </w:p>
    <w:p>
      <w:pPr>
        <w:pStyle w:val="Title"/>
      </w:pPr>
      <w:r>
        <w:rPr/>
        <w:t xml:space="preserve">Tu primera prueba en Postman</w:t>
      </w:r>
    </w:p>
    <w:p>
      <w:pPr>
        <w:pStyle w:val="Subtitle"/>
      </w:pPr>
      <w:r>
        <w:rPr/>
        <w:t xml:space="preserve">Objetivo: registrar un producto y comprobar que se puede consultar.</w:t>
      </w:r>
    </w:p>
    <w:p>
      <w:pPr>
        <w:pStyle w:val="Heading1"/>
      </w:pPr>
      <w:r>
        <w:rPr/>
        <w:t xml:space="preserve">1. Mantén iniciada la aplicación</w:t>
      </w:r>
    </w:p>
    <w:p>
      <w:pPr>
        <w:pStyle w:val="Normal"/>
      </w:pPr>
      <w:r>
        <w:rPr/>
        <w:t xml:space="preserve">Si ya está ejecutándose, deja esa terminal abierta. Si está detenida, ejecuta lo siguiente desde la carpeta del proyecto, en PowerShell. La ruta del JDK corresponde a tu computadora:</w:t>
      </w:r>
    </w:p>
    <w:p>
      <w:pPr>
        <w:pStyle w:val="Code"/>
      </w:pPr>
      <w:r>
        <w:rPr/>
        <w:t xml:space="preserve">$env:JAVA_HOME = "$env:USERPROFILE/.jdks/corretto-21.0.8"</w:t>
        <w:br/>
        <w:t xml:space="preserve">$env:Path = "$env:JAVA_HOME/bin;$env:Path"</w:t>
        <w:br/>
        <w:t xml:space="preserve">.\mvnw.cmd spring-boot:run</w:t>
      </w:r>
    </w:p>
    <w:p>
      <w:pPr>
        <w:pStyle w:val="Heading1"/>
      </w:pPr>
      <w:r>
        <w:rPr/>
        <w:t xml:space="preserve">2. Consulta los productos</w:t>
      </w:r>
    </w:p>
    <w:p>
      <w:pPr>
        <w:pStyle w:val="Normal"/>
      </w:pPr>
      <w:r>
        <w:rPr/>
        <w:t xml:space="preserve">Abre una petición en Postman. Selecciona GET, escribe la dirección siguiente y pulsa Send:</w:t>
      </w:r>
    </w:p>
    <w:p>
      <w:pPr>
        <w:pStyle w:val="Code"/>
      </w:pPr>
      <w:r>
        <w:rPr/>
        <w:t xml:space="preserve">http://localhost:8080/api/productos</w:t>
      </w:r>
    </w:p>
    <w:p>
      <w:pPr>
        <w:pStyle w:val="Normal"/>
      </w:pPr>
      <w:r>
        <w:rPr/>
        <w:t xml:space="preserve">Resultado esperado: 200 OK. Si aparece [], la petición funcionó y la lista de productos activos está vacía.</w:t>
      </w:r>
    </w:p>
    <w:p>
      <w:pPr>
        <w:pStyle w:val="Heading1"/>
      </w:pPr>
      <w:r>
        <w:rPr/>
        <w:t xml:space="preserve">3. Registra un producto</w:t>
      </w:r>
    </w:p>
    <w:p>
      <w:pPr>
        <w:pStyle w:val="Normal"/>
      </w:pPr>
      <w:r>
        <w:rPr/>
        <w:t xml:space="preserve">Usa POST con la misma dirección. En Body selecciona raw y el formato JSON. Envía estos datos:</w:t>
      </w:r>
    </w:p>
    <w:p>
      <w:pPr>
        <w:pStyle w:val="Code"/>
      </w:pPr>
      <w:r>
        <w:rPr/>
        <w:t xml:space="preserve">{</w:t>
        <w:br/>
        <w:t xml:space="preserve">  "nombre": "Arroz de prueba",</w:t>
        <w:br/>
        <w:t xml:space="preserve">  "descripcion": "Bolsa de 1 kg",</w:t>
        <w:br/>
        <w:t xml:space="preserve">  "precio": 4.50,</w:t>
        <w:br/>
        <w:t xml:space="preserve">  "stock": 20,</w:t>
        <w:br/>
        <w:t xml:space="preserve">  "categoria": "Abarrotes"</w:t>
        <w:br/>
        <w:t xml:space="preserve">}</w:t>
      </w:r>
    </w:p>
    <w:p>
      <w:pPr>
        <w:pStyle w:val="Normal"/>
      </w:pPr>
      <w:r>
        <w:rPr/>
        <w:t xml:space="preserve">Resultado esperado: 201 Created y un JSON con el producto y su id. Guarda ese identificador; puede ser cualquier número. Si ya existe ese nombre, usa uno nuevo para repetir esta prueba.</w:t>
      </w:r>
    </w:p>
    <w:p>
      <w:pPr>
        <w:pStyle w:val="Heading1"/>
      </w:pPr>
      <w:r>
        <w:rPr/>
        <w:t xml:space="preserve">4. Comprueba el registro</w:t>
      </w:r>
    </w:p>
    <w:p>
      <w:pPr>
        <w:pStyle w:val="Normal"/>
      </w:pPr>
      <w:r>
        <w:rPr/>
        <w:t xml:space="preserve">Repite GET /api/productos. El producto debe aparecer. También puedes consultar GET /api/productos/{id}, reemplazando {id} por el número que devolvió el POST, sin escribir las llaves.</w:t>
      </w:r>
    </w:p>
    <w:p>
      <w:pPr>
        <w:pStyle w:val="Callout"/>
      </w:pPr>
      <w:r>
        <w:rPr/>
        <w:t xml:space="preserve">Guarda ambas peticiones en una colección llamada “Minimarket local”. Una colección agrupa las pruebas para repetirlas y compartirlas con el equipo.</w:t>
      </w:r>
    </w:p>
    <w:p>
      <w:pPr>
        <w:spacing w:after="0"/>
      </w:pPr>
      <w:r>
        <w:br w:type="page"/>
      </w:r>
    </w:p>
    <w:p>
      <w:pPr>
        <w:pStyle w:val="Eyebrow"/>
      </w:pPr>
      <w:r>
        <w:rPr/>
        <w:t xml:space="preserve">GUÍA PRÁCTICA  /  04</w:t>
      </w:r>
    </w:p>
    <w:p>
      <w:pPr>
        <w:pStyle w:val="Title"/>
      </w:pPr>
      <w:r>
        <w:rPr/>
        <w:t xml:space="preserve">Cómo comprobar que funciona</w:t>
      </w:r>
    </w:p>
    <w:p>
      <w:pPr>
        <w:pStyle w:val="Subtitle"/>
      </w:pPr>
      <w:r>
        <w:rPr/>
        <w:t xml:space="preserve">Comprueba el resultado y los datos, además del estado HTTP.</w:t>
      </w:r>
    </w:p>
    <w:tbl>
      <w:tblPr>
        <w:tblW w:w="0" w:type="auto"/>
        <w:tblLayout w:type="fixed"/>
        <w:tblBorders>
          <w:top w:val="single" w:sz="4" w:color="D9E3EA"/>
          <w:bottom w:val="single" w:sz="4" w:color="D9E3EA"/>
          <w:insideH w:val="single" w:sz="4" w:color="D9E3EA"/>
        </w:tblBorders>
        <w:tblCellMar>
          <w:top w:w="90" w:type="dxa"/>
          <w:left w:w="110" w:type="dxa"/>
          <w:bottom w:w="90" w:type="dxa"/>
          <w:right w:w="110" w:type="dxa"/>
        </w:tblCellMar>
      </w:tblPr>
      <w:tblGrid>
        <w:gridCol w:w="2100"/>
        <w:gridCol w:w="7260"/>
      </w:tblGrid>
      <w:tr>
        <w:trPr>
          <w:cantSplit/>
          <w:tblHeader/>
        </w:trPr>
        <w:tc>
          <w:tcPr>
            <w:tcW w:w="2100" w:type="dxa"/>
            <w:shd w:fill="18354A"/>
            <w:vAlign w:val="center"/>
          </w:tcPr>
          <w:p>
            <w:pPr>
              <w:pStyle w:val="TableText"/>
            </w:pPr>
            <w:r>
              <w:rPr>
                <w:b/>
                <w:color w:val="FFFFFF"/>
              </w:rPr>
              <w:t xml:space="preserve">Prueba</w:t>
            </w:r>
          </w:p>
        </w:tc>
        <w:tc>
          <w:tcPr>
            <w:tcW w:w="7260" w:type="dxa"/>
            <w:shd w:fill="18354A"/>
            <w:vAlign w:val="center"/>
          </w:tcPr>
          <w:p>
            <w:pPr>
              <w:pStyle w:val="TableText"/>
            </w:pPr>
            <w:r>
              <w:rPr>
                <w:b/>
                <w:color w:val="FFFFFF"/>
              </w:rPr>
              <w:t xml:space="preserve">Acción y resultado esperado</w:t>
            </w:r>
          </w:p>
        </w:tc>
      </w:tr>
      <w:tr>
        <w:trPr>
          <w:cantSplit/>
        </w:trPr>
        <w:tc>
          <w:tcPr>
            <w:tcW w:w="2100" w:type="dxa"/>
            <w:shd w:fill="EFF5F8"/>
            <w:vAlign w:val="center"/>
          </w:tcPr>
          <w:p>
            <w:pPr>
              <w:pStyle w:val="TableText"/>
            </w:pPr>
            <w:r>
              <w:rPr>
                <w:color w:val="243B4A"/>
              </w:rPr>
              <w:t xml:space="preserve">Modificar</w:t>
            </w:r>
          </w:p>
        </w:tc>
        <w:tc>
          <w:tcPr>
            <w:tcW w:w="7260" w:type="dxa"/>
            <w:shd w:fill="EFF5F8"/>
            <w:vAlign w:val="center"/>
          </w:tcPr>
          <w:p>
            <w:pPr>
              <w:pStyle w:val="TableText"/>
            </w:pPr>
            <w:r>
              <w:rPr>
                <w:color w:val="243B4A"/>
              </w:rPr>
              <w:t xml:space="preserve">PUT /api/productos/{id}: envía el mismo JSON del producto, cambiando precio o stock. Debe responder 200. Consulta otra vez para confirmar el cambio.</w:t>
            </w:r>
          </w:p>
        </w:tc>
      </w:tr>
      <w:tr>
        <w:trPr>
          <w:cantSplit/>
        </w:trPr>
        <w:tc>
          <w:tcPr>
            <w:tcW w:w="2100" w:type="dxa"/>
            <w:shd w:fill="FFFFFF"/>
            <w:vAlign w:val="center"/>
          </w:tcPr>
          <w:p>
            <w:pPr>
              <w:pStyle w:val="TableText"/>
            </w:pPr>
            <w:r>
              <w:rPr>
                <w:color w:val="243B4A"/>
              </w:rPr>
              <w:t xml:space="preserve">Validar datos</w:t>
            </w:r>
          </w:p>
        </w:tc>
        <w:tc>
          <w:tcPr>
            <w:tcW w:w="7260" w:type="dxa"/>
            <w:shd w:fill="FFFFFF"/>
            <w:vAlign w:val="center"/>
          </w:tcPr>
          <w:p>
            <w:pPr>
              <w:pStyle w:val="TableText"/>
            </w:pPr>
            <w:r>
              <w:rPr>
                <w:color w:val="243B4A"/>
              </w:rPr>
              <w:t xml:space="preserve">POST /api/productos: usa un nombre nuevo y precio -1. Debe responder 400 Bad Request. Confirma que ese producto no quedó registrado.</w:t>
            </w:r>
          </w:p>
        </w:tc>
      </w:tr>
      <w:tr>
        <w:trPr>
          <w:cantSplit/>
        </w:trPr>
        <w:tc>
          <w:tcPr>
            <w:tcW w:w="2100" w:type="dxa"/>
            <w:shd w:fill="EFF5F8"/>
            <w:vAlign w:val="center"/>
          </w:tcPr>
          <w:p>
            <w:pPr>
              <w:pStyle w:val="TableText"/>
            </w:pPr>
            <w:r>
              <w:rPr>
                <w:color w:val="243B4A"/>
              </w:rPr>
              <w:t xml:space="preserve">Conservar datos</w:t>
            </w:r>
          </w:p>
        </w:tc>
        <w:tc>
          <w:tcPr>
            <w:tcW w:w="7260" w:type="dxa"/>
            <w:shd w:fill="EFF5F8"/>
            <w:vAlign w:val="center"/>
          </w:tcPr>
          <w:p>
            <w:pPr>
              <w:pStyle w:val="TableText"/>
            </w:pPr>
            <w:r>
              <w:rPr>
                <w:color w:val="243B4A"/>
              </w:rPr>
              <w:t xml:space="preserve">Detén y reinicia la aplicación desde la misma carpeta. Consulta el producto antes de desactivarlo: debe seguir guardado.</w:t>
            </w:r>
          </w:p>
        </w:tc>
      </w:tr>
      <w:tr>
        <w:trPr>
          <w:cantSplit/>
        </w:trPr>
        <w:tc>
          <w:tcPr>
            <w:tcW w:w="2100" w:type="dxa"/>
            <w:shd w:fill="FFFFFF"/>
            <w:vAlign w:val="center"/>
          </w:tcPr>
          <w:p>
            <w:pPr>
              <w:pStyle w:val="TableText"/>
            </w:pPr>
            <w:r>
              <w:rPr>
                <w:color w:val="243B4A"/>
              </w:rPr>
              <w:t xml:space="preserve">Desactivar</w:t>
            </w:r>
          </w:p>
        </w:tc>
        <w:tc>
          <w:tcPr>
            <w:tcW w:w="7260" w:type="dxa"/>
            <w:shd w:fill="FFFFFF"/>
            <w:vAlign w:val="center"/>
          </w:tcPr>
          <w:p>
            <w:pPr>
              <w:pStyle w:val="TableText"/>
            </w:pPr>
            <w:r>
              <w:rPr>
                <w:color w:val="243B4A"/>
              </w:rPr>
              <w:t xml:space="preserve">DELETE /api/productos/{id}: debe responder 204 No Content. Al listar productos activos, ya no debe aparecer.</w:t>
            </w:r>
          </w:p>
        </w:tc>
      </w:tr>
      <w:tr>
        <w:trPr>
          <w:cantSplit/>
        </w:trPr>
        <w:tc>
          <w:tcPr>
            <w:tcW w:w="2100" w:type="dxa"/>
            <w:shd w:fill="EFF5F8"/>
            <w:vAlign w:val="center"/>
          </w:tcPr>
          <w:p>
            <w:pPr>
              <w:pStyle w:val="TableText"/>
            </w:pPr>
            <w:r>
              <w:rPr>
                <w:color w:val="243B4A"/>
              </w:rPr>
              <w:t xml:space="preserve">Revisar ventas</w:t>
            </w:r>
          </w:p>
        </w:tc>
        <w:tc>
          <w:tcPr>
            <w:tcW w:w="7260" w:type="dxa"/>
            <w:shd w:fill="EFF5F8"/>
            <w:vAlign w:val="center"/>
          </w:tcPr>
          <w:p>
            <w:pPr>
              <w:pStyle w:val="TableText"/>
            </w:pPr>
            <w:r>
              <w:rPr>
                <w:color w:val="243B4A"/>
              </w:rPr>
              <w:t xml:space="preserve">Prueba crear y consultar ventas y detalles con un producto existente. Verifica sus cantidades, precios y relaciones. Las reglas de negocio requieren revisión adicional.</w:t>
            </w:r>
          </w:p>
        </w:tc>
      </w:tr>
    </w:tbl>
    <w:p>
      <w:pPr>
        <w:pStyle w:val="Small"/>
      </w:pPr>
      <w:r>
        <w:rPr/>
        <w:t xml:space="preserve"/>
      </w:r>
    </w:p>
    <w:p>
      <w:pPr>
        <w:pStyle w:val="Callout"/>
      </w:pPr>
      <w:r>
        <w:rPr/>
        <w:t xml:space="preserve">En este proyecto, DELETE de productos cambia activo a false: el registro permanece en la base. La consulta por ID puede seguir devolviéndolo.</w:t>
      </w:r>
    </w:p>
    <w:p>
      <w:pPr>
        <w:pStyle w:val="Heading1"/>
      </w:pPr>
      <w:r>
        <w:rPr/>
        <w:t xml:space="preserve">Cómo interpretar las respuestas</w:t>
      </w:r>
    </w:p>
    <w:p>
      <w:pPr>
        <w:pStyle w:val="Normal"/>
      </w:pPr>
      <w:r>
        <w:rPr/>
        <w:t xml:space="preserve">200: operación atendida correctamente. 201: registro creado. 204: operación completada sin cuerpo de respuesta. 400: los datos enviados no cumplen lo esperado.</w:t>
      </w:r>
    </w:p>
    <w:p>
      <w:pPr>
        <w:pStyle w:val="Normal"/>
      </w:pPr>
      <w:r>
        <w:rPr/>
        <w:t xml:space="preserve">Un 500 indica un error del servidor que debemos investigar. Si aparece, conserva el cuerpo de la respuesta y revisa el mensaje de error en la terminal. Si no hay conexión, comprueba que la aplicación siga encendida y que la dirección y el puerto sean correctos.</w:t>
      </w:r>
    </w:p>
    <w:p>
      <w:pPr>
        <w:pStyle w:val="Heading1"/>
      </w:pPr>
      <w:r>
        <w:rPr/>
        <w:t xml:space="preserve">Qué ya comprobamos automáticamente</w:t>
      </w:r>
    </w:p>
    <w:p>
      <w:pPr>
        <w:pStyle w:val="Normal"/>
      </w:pPr>
      <w:r>
        <w:rPr/>
        <w:t xml:space="preserve">Maven terminó con BUILD SUCCESS. Pasaron una prueba de carga de la aplicación y una prueba HTTP de creación y consulta de productos, ventas y detalles, usando una base H2 en memoria para las pruebas.</w:t>
      </w:r>
    </w:p>
    <w:p>
      <w:pPr>
        <w:pStyle w:val="Normal"/>
      </w:pPr>
      <w:r>
        <w:rPr/>
        <w:t xml:space="preserve">Estas pruebas están separadas de tu base local data/minimarket.mv.db. Ayudan a detectar errores de integración; las pruebas manuales permiten revisar y demostrar el comportamiento desde Postman.</w:t>
      </w:r>
    </w:p>
    <w:p>
      <w:pPr>
        <w:pStyle w:val="Heading1"/>
      </w:pPr>
      <w:r>
        <w:rPr/>
        <w:t xml:space="preserve">Antes de subir los cambios</w:t>
      </w:r>
    </w:p>
    <w:p>
      <w:pPr>
        <w:pStyle w:val="Normal"/>
      </w:pPr>
      <w:r>
        <w:rPr/>
        <w:t xml:space="preserve">Guardaremos las correcciones en Git después de revisarlas. Antes del commit hay que excluir de Git la carpeta data/ y los archivos locales del editor. El código se comparte; la base de datos de tu computadora se mantiene local.</w:t>
      </w:r>
    </w:p>
    <w:p>
      <w:pPr>
        <w:spacing w:after="0"/>
      </w:pPr>
      <w:r>
        <w:br w:type="page"/>
      </w:r>
    </w:p>
    <w:p>
      <w:pPr>
        <w:pStyle w:val="Eyebrow"/>
      </w:pPr>
      <w:r>
        <w:rPr/>
        <w:t xml:space="preserve">GUÍA PRÁCTICA  /  05</w:t>
      </w:r>
    </w:p>
    <w:p>
      <w:pPr>
        <w:pStyle w:val="Title"/>
      </w:pPr>
      <w:r>
        <w:rPr/>
        <w:t xml:space="preserve">Qué cambia cuando usamos Docker</w:t>
      </w:r>
    </w:p>
    <w:p>
      <w:pPr>
        <w:pStyle w:val="Subtitle"/>
      </w:pPr>
      <w:r>
        <w:rPr/>
        <w:t xml:space="preserve">Propuesta para el despliegue local que pidió el profesor.</w:t>
      </w:r>
    </w:p>
    <w:p>
      <w:pPr>
        <w:pStyle w:val="Heading1"/>
      </w:pPr>
      <w:r>
        <w:rPr/>
        <w:t xml:space="preserve">Imagen y contenedor</w:t>
      </w:r>
    </w:p>
    <w:p>
      <w:pPr>
        <w:pStyle w:val="Normal"/>
      </w:pPr>
      <w:r>
        <w:rPr/>
        <w:t xml:space="preserve">Una imagen Docker es un paquete preparado con la aplicación y lo necesario para ejecutarla. Un contenedor es una ejecución de esa imagen. Así el equipo puede usar una configuración común.</w:t>
      </w:r>
    </w:p>
    <w:p>
      <w:pPr>
        <w:pStyle w:val="Normal"/>
      </w:pPr>
      <w:r>
        <w:rPr/>
        <w:t xml:space="preserve">El Dockerfile describe cómo construir la imagen de la aplicación. Docker Compose permite definir y arrancar varios servicios relacionados con un solo comando.</w:t>
      </w:r>
    </w:p>
    <w:p>
      <w:pPr>
        <w:pStyle w:val="Heading1"/>
      </w:pPr>
      <w:r>
        <w:rPr/>
        <w:t xml:space="preserve">La configuración que proponemos</w:t>
      </w:r>
    </w:p>
    <w:tbl>
      <w:tblPr>
        <w:tblW w:w="0" w:type="auto"/>
        <w:tblLayout w:type="fixed"/>
        <w:tblBorders>
          <w:top w:val="single" w:sz="4" w:color="D9E3EA"/>
          <w:bottom w:val="single" w:sz="4" w:color="D9E3EA"/>
          <w:insideH w:val="single" w:sz="4" w:color="D9E3EA"/>
        </w:tblBorders>
        <w:tblCellMar>
          <w:top w:w="90" w:type="dxa"/>
          <w:left w:w="110" w:type="dxa"/>
          <w:bottom w:w="90" w:type="dxa"/>
          <w:right w:w="110" w:type="dxa"/>
        </w:tblCellMar>
      </w:tblPr>
      <w:tblGrid>
        <w:gridCol w:w="2700"/>
        <w:gridCol w:w="6660"/>
      </w:tblGrid>
      <w:tr>
        <w:trPr>
          <w:cantSplit/>
          <w:tblHeader/>
        </w:trPr>
        <w:tc>
          <w:tcPr>
            <w:tcW w:w="2700" w:type="dxa"/>
            <w:shd w:fill="18354A"/>
            <w:vAlign w:val="center"/>
          </w:tcPr>
          <w:p>
            <w:pPr>
              <w:pStyle w:val="TableText"/>
            </w:pPr>
            <w:r>
              <w:rPr>
                <w:b/>
                <w:color w:val="FFFFFF"/>
              </w:rPr>
              <w:t xml:space="preserve">Contenedor</w:t>
            </w:r>
          </w:p>
        </w:tc>
        <w:tc>
          <w:tcPr>
            <w:tcW w:w="6660" w:type="dxa"/>
            <w:shd w:fill="18354A"/>
            <w:vAlign w:val="center"/>
          </w:tcPr>
          <w:p>
            <w:pPr>
              <w:pStyle w:val="TableText"/>
            </w:pPr>
            <w:r>
              <w:rPr>
                <w:b/>
                <w:color w:val="FFFFFF"/>
              </w:rPr>
              <w:t xml:space="preserve">Responsabilidad</w:t>
            </w:r>
          </w:p>
        </w:tc>
      </w:tr>
      <w:tr>
        <w:trPr>
          <w:cantSplit/>
        </w:trPr>
        <w:tc>
          <w:tcPr>
            <w:tcW w:w="2700" w:type="dxa"/>
            <w:shd w:fill="EFF5F8"/>
            <w:vAlign w:val="center"/>
          </w:tcPr>
          <w:p>
            <w:pPr>
              <w:pStyle w:val="TableText"/>
            </w:pPr>
            <w:r>
              <w:rPr>
                <w:color w:val="243B4A"/>
              </w:rPr>
              <w:t xml:space="preserve">Aplicación Spring Boot</w:t>
            </w:r>
          </w:p>
        </w:tc>
        <w:tc>
          <w:tcPr>
            <w:tcW w:w="6660" w:type="dxa"/>
            <w:shd w:fill="EFF5F8"/>
            <w:vAlign w:val="center"/>
          </w:tcPr>
          <w:p>
            <w:pPr>
              <w:pStyle w:val="TableText"/>
            </w:pPr>
            <w:r>
              <w:rPr>
                <w:color w:val="243B4A"/>
              </w:rPr>
              <w:t xml:space="preserve">Ejecutar la API del minimarket y exponer un puerto para recibir peticiones.</w:t>
            </w:r>
          </w:p>
        </w:tc>
      </w:tr>
      <w:tr>
        <w:trPr>
          <w:cantSplit/>
        </w:trPr>
        <w:tc>
          <w:tcPr>
            <w:tcW w:w="2700" w:type="dxa"/>
            <w:shd w:fill="FFFFFF"/>
            <w:vAlign w:val="center"/>
          </w:tcPr>
          <w:p>
            <w:pPr>
              <w:pStyle w:val="TableText"/>
            </w:pPr>
            <w:r>
              <w:rPr>
                <w:color w:val="243B4A"/>
              </w:rPr>
              <w:t xml:space="preserve">MySQL</w:t>
            </w:r>
          </w:p>
        </w:tc>
        <w:tc>
          <w:tcPr>
            <w:tcW w:w="6660" w:type="dxa"/>
            <w:shd w:fill="FFFFFF"/>
            <w:vAlign w:val="center"/>
          </w:tcPr>
          <w:p>
            <w:pPr>
              <w:pStyle w:val="TableText"/>
            </w:pPr>
            <w:r>
              <w:rPr>
                <w:color w:val="243B4A"/>
              </w:rPr>
              <w:t xml:space="preserve">Guardar los datos en una base independiente de la aplicación. Su volumen conserva los datos aunque se recree el contenedor.</w:t>
            </w:r>
          </w:p>
        </w:tc>
      </w:tr>
    </w:tbl>
    <w:p>
      <w:pPr>
        <w:pStyle w:val="Small"/>
      </w:pPr>
      <w:r>
        <w:rPr/>
        <w:t xml:space="preserve"/>
      </w:r>
    </w:p>
    <w:p>
      <w:pPr>
        <w:pStyle w:val="Callout"/>
      </w:pPr>
      <w:r>
        <w:rPr/>
        <w:t xml:space="preserve">Postman → localhost:8080 → Contenedor de la API → Contenedor MySQL</w:t>
      </w:r>
    </w:p>
    <w:p>
      <w:pPr>
        <w:pStyle w:val="Normal"/>
      </w:pPr>
      <w:r>
        <w:rPr/>
        <w:t xml:space="preserve">Compose conecta ambos contenedores. La API usa el nombre del servicio de base de datos para comunicarse con MySQL. Desde tu computadora, Postman accede al puerto publicado por el contenedor de la API.</w:t>
      </w:r>
    </w:p>
    <w:p>
      <w:pPr>
        <w:pStyle w:val="Heading1"/>
      </w:pPr>
      <w:r>
        <w:rPr/>
        <w:t xml:space="preserve">Por qué hoy no ves la base en Docker</w:t>
      </w:r>
    </w:p>
    <w:p>
      <w:pPr>
        <w:pStyle w:val="Normal"/>
      </w:pPr>
      <w:r>
        <w:rPr/>
        <w:t xml:space="preserve">La configuración actual es jdbc:h2:file:./data/minimarket. H2 corre junto a la aplicación Java y guarda un archivo en tu computadora. Todavía no creamos los contenedores del proyecto.</w:t>
      </w:r>
    </w:p>
    <w:p>
      <w:pPr>
        <w:pStyle w:val="Heading1"/>
      </w:pPr>
      <w:r>
        <w:rPr/>
        <w:t xml:space="preserve">Qué falta preparar y comprobar</w:t>
      </w:r>
    </w:p>
    <w:p>
      <w:pPr>
        <w:pStyle w:val="Normal"/>
      </w:pPr>
      <w:r>
        <w:rPr/>
        <w:t xml:space="preserve">1. Crear Dockerfile, .dockerignore y compose.yaml con la aplicación y MySQL.</w:t>
      </w:r>
    </w:p>
    <w:p>
      <w:pPr>
        <w:pStyle w:val="Normal"/>
      </w:pPr>
      <w:r>
        <w:rPr/>
        <w:t xml:space="preserve">2. Configurar la conexión de la API a MySQL y el volumen para conservar los datos.</w:t>
      </w:r>
    </w:p>
    <w:p>
      <w:pPr>
        <w:pStyle w:val="Normal"/>
      </w:pPr>
      <w:r>
        <w:rPr/>
        <w:t xml:space="preserve">3. Ejecutar los contenedores y repetir las pruebas de Postman contra la aplicación en Docker.</w:t>
      </w:r>
    </w:p>
    <w:p>
      <w:pPr>
        <w:pStyle w:val="Normal"/>
      </w:pPr>
      <w:r>
        <w:rPr/>
        <w:t xml:space="preserve">4. Comprobar que los datos permanecen después de reiniciar los contenedores.</w:t>
      </w:r>
    </w:p>
    <w:p>
      <w:pPr>
        <w:pStyle w:val="Normal"/>
      </w:pPr>
      <w:r>
        <w:rPr/>
        <w:t xml:space="preserve">MySQL es una propuesta; el profesor no indicó aquí una base específica. Los registros de H2 no se copian automáticamente a MySQL: habría que cargarlos o migrarlos si se necesitan.</w:t>
      </w:r>
    </w:p>
    <w:p>
      <w:pPr>
        <w:pStyle w:val="Small"/>
      </w:pPr>
      <w:r>
        <w:rPr/>
        <w:t xml:space="preserve">Cuando usemos Docker en el puerto 8080, detendremos primero la aplicación Java que esté usando ese mismo puerto.</w:t>
      </w:r>
    </w:p>
    <w:p>
      <w:pPr>
        <w:spacing w:after="0"/>
      </w:pPr>
      <w:r>
        <w:br w:type="page"/>
      </w:r>
    </w:p>
    <w:p>
      <w:pPr>
        <w:pStyle w:val="Eyebrow"/>
      </w:pPr>
      <w:r>
        <w:rPr/>
        <w:t xml:space="preserve">GUÍA PRÁCTICA  /  06</w:t>
      </w:r>
    </w:p>
    <w:p>
      <w:pPr>
        <w:pStyle w:val="Title"/>
      </w:pPr>
      <w:r>
        <w:rPr/>
        <w:t xml:space="preserve">Gitflow, workflow y runner</w:t>
      </w:r>
    </w:p>
    <w:p>
      <w:pPr>
        <w:pStyle w:val="Subtitle"/>
      </w:pPr>
      <w:r>
        <w:rPr/>
        <w:t xml:space="preserve">Cómo llevar una versión comprobada hasta main.</w:t>
      </w:r>
    </w:p>
    <w:tbl>
      <w:tblPr>
        <w:tblW w:w="0" w:type="auto"/>
        <w:tblLayout w:type="fixed"/>
        <w:tblBorders>
          <w:top w:val="single" w:sz="4" w:color="D9E3EA"/>
          <w:bottom w:val="single" w:sz="4" w:color="D9E3EA"/>
          <w:insideH w:val="single" w:sz="4" w:color="D9E3EA"/>
        </w:tblBorders>
        <w:tblCellMar>
          <w:top w:w="90" w:type="dxa"/>
          <w:left w:w="110" w:type="dxa"/>
          <w:bottom w:w="90" w:type="dxa"/>
          <w:right w:w="110" w:type="dxa"/>
        </w:tblCellMar>
      </w:tblPr>
      <w:tblGrid>
        <w:gridCol w:w="2100"/>
        <w:gridCol w:w="7260"/>
      </w:tblGrid>
      <w:tr>
        <w:trPr>
          <w:cantSplit/>
          <w:tblHeader/>
        </w:trPr>
        <w:tc>
          <w:tcPr>
            <w:tcW w:w="2100" w:type="dxa"/>
            <w:shd w:fill="18354A"/>
            <w:vAlign w:val="center"/>
          </w:tcPr>
          <w:p>
            <w:pPr>
              <w:pStyle w:val="TableText"/>
            </w:pPr>
            <w:r>
              <w:rPr>
                <w:b/>
                <w:color w:val="FFFFFF"/>
              </w:rPr>
              <w:t xml:space="preserve">Concepto</w:t>
            </w:r>
          </w:p>
        </w:tc>
        <w:tc>
          <w:tcPr>
            <w:tcW w:w="7260" w:type="dxa"/>
            <w:shd w:fill="18354A"/>
            <w:vAlign w:val="center"/>
          </w:tcPr>
          <w:p>
            <w:pPr>
              <w:pStyle w:val="TableText"/>
            </w:pPr>
            <w:r>
              <w:rPr>
                <w:b/>
                <w:color w:val="FFFFFF"/>
              </w:rPr>
              <w:t xml:space="preserve">Su función</w:t>
            </w:r>
          </w:p>
        </w:tc>
      </w:tr>
      <w:tr>
        <w:trPr>
          <w:cantSplit/>
        </w:trPr>
        <w:tc>
          <w:tcPr>
            <w:tcW w:w="2100" w:type="dxa"/>
            <w:shd w:fill="EFF5F8"/>
            <w:vAlign w:val="center"/>
          </w:tcPr>
          <w:p>
            <w:pPr>
              <w:pStyle w:val="TableText"/>
            </w:pPr>
            <w:r>
              <w:rPr>
                <w:color w:val="243B4A"/>
              </w:rPr>
              <w:t xml:space="preserve">Gitflow</w:t>
            </w:r>
          </w:p>
        </w:tc>
        <w:tc>
          <w:tcPr>
            <w:tcW w:w="7260" w:type="dxa"/>
            <w:shd w:fill="EFF5F8"/>
            <w:vAlign w:val="center"/>
          </w:tcPr>
          <w:p>
            <w:pPr>
              <w:pStyle w:val="TableText"/>
            </w:pPr>
            <w:r>
              <w:rPr>
                <w:color w:val="243B4A"/>
              </w:rPr>
              <w:t xml:space="preserve">Organiza las ramas y cómo se integra el trabajo del equipo.</w:t>
            </w:r>
          </w:p>
        </w:tc>
      </w:tr>
      <w:tr>
        <w:trPr>
          <w:cantSplit/>
        </w:trPr>
        <w:tc>
          <w:tcPr>
            <w:tcW w:w="2100" w:type="dxa"/>
            <w:shd w:fill="FFFFFF"/>
            <w:vAlign w:val="center"/>
          </w:tcPr>
          <w:p>
            <w:pPr>
              <w:pStyle w:val="TableText"/>
            </w:pPr>
            <w:r>
              <w:rPr>
                <w:color w:val="243B4A"/>
              </w:rPr>
              <w:t xml:space="preserve">Workflow</w:t>
            </w:r>
          </w:p>
        </w:tc>
        <w:tc>
          <w:tcPr>
            <w:tcW w:w="7260" w:type="dxa"/>
            <w:shd w:fill="FFFFFF"/>
            <w:vAlign w:val="center"/>
          </w:tcPr>
          <w:p>
            <w:pPr>
              <w:pStyle w:val="TableText"/>
            </w:pPr>
            <w:r>
              <w:rPr>
                <w:color w:val="243B4A"/>
              </w:rPr>
              <w:t xml:space="preserve">Define tareas automáticas en un archivo de .github/workflows/ para que GitHub Actions las ejecute.</w:t>
            </w:r>
          </w:p>
        </w:tc>
      </w:tr>
      <w:tr>
        <w:trPr>
          <w:cantSplit/>
        </w:trPr>
        <w:tc>
          <w:tcPr>
            <w:tcW w:w="2100" w:type="dxa"/>
            <w:shd w:fill="EFF5F8"/>
            <w:vAlign w:val="center"/>
          </w:tcPr>
          <w:p>
            <w:pPr>
              <w:pStyle w:val="TableText"/>
            </w:pPr>
            <w:r>
              <w:rPr>
                <w:color w:val="243B4A"/>
              </w:rPr>
              <w:t xml:space="preserve">Runner</w:t>
            </w:r>
          </w:p>
        </w:tc>
        <w:tc>
          <w:tcPr>
            <w:tcW w:w="7260" w:type="dxa"/>
            <w:shd w:fill="EFF5F8"/>
            <w:vAlign w:val="center"/>
          </w:tcPr>
          <w:p>
            <w:pPr>
              <w:pStyle w:val="TableText"/>
            </w:pPr>
            <w:r>
              <w:rPr>
                <w:color w:val="243B4A"/>
              </w:rPr>
              <w:t xml:space="preserve">Es la máquina que ejecuta esas tareas. Puede ser proporcionada por GitHub o configurada por ustedes (self-hosted).</w:t>
            </w:r>
          </w:p>
        </w:tc>
      </w:tr>
    </w:tbl>
    <w:p>
      <w:pPr>
        <w:pStyle w:val="Small"/>
      </w:pPr>
      <w:r>
        <w:rPr/>
        <w:t xml:space="preserve"/>
      </w:r>
    </w:p>
    <w:p>
      <w:pPr>
        <w:pStyle w:val="Heading1"/>
      </w:pPr>
      <w:r>
        <w:rPr/>
        <w:t xml:space="preserve">Cómo usamos las ramas</w:t>
      </w:r>
    </w:p>
    <w:p>
      <w:pPr>
        <w:pStyle w:val="Normal"/>
      </w:pPr>
      <w:r>
        <w:rPr/>
        <w:t xml:space="preserve">feature/*: trabajo de una funcionalidad. develop: integración del equipo. release/*: preparación de una versión. main: versión estable para entregar. hotfix/*: correcciones urgentes de una versión publicada.</w:t>
      </w:r>
    </w:p>
    <w:p>
      <w:pPr>
        <w:pStyle w:val="Normal"/>
      </w:pPr>
      <w:r>
        <w:rPr/>
        <w:t xml:space="preserve">Un commit guarda una versión en Git local. Un push envía los commits a GitHub. Un pull request (PR) propone revisar e integrar los cambios de una rama en otra.</w:t>
      </w:r>
    </w:p>
    <w:p>
      <w:pPr>
        <w:pStyle w:val="Callout"/>
      </w:pPr>
      <w:r>
        <w:rPr/>
        <w:t xml:space="preserve">Flujo típico: feature/* → PR a develop → release/* → main</w:t>
        <w:br/>
        <w:t xml:space="preserve">Los ajustes de la release también deben volver a develop.</w:t>
      </w:r>
    </w:p>
    <w:p>
      <w:pPr>
        <w:pStyle w:val="Heading1"/>
      </w:pPr>
      <w:r>
        <w:rPr/>
        <w:t xml:space="preserve">Qué automatizaremos</w:t>
      </w:r>
    </w:p>
    <w:p>
      <w:pPr>
        <w:pStyle w:val="Normal"/>
      </w:pPr>
      <w:r>
        <w:rPr/>
        <w:t xml:space="preserve">Proponemos que el workflow se ejecute en los pull requests y en las actualizaciones de las ramas de integración y entrega. Debe compilar con Java 21, ejecutar las pruebas y construir la imagen Docker. Podemos añadir una comprobación de arranque del contenedor.</w:t>
      </w:r>
    </w:p>
    <w:p>
      <w:pPr>
        <w:pStyle w:val="Normal"/>
      </w:pPr>
      <w:r>
        <w:rPr/>
        <w:t xml:space="preserve">Un resultado verde significa que pasaron las tareas configuradas. Construir una imagen no inicia por sí solo el servicio en tu computadora. El despliegue local se comprueba ejecutando Docker y probando la API.</w:t>
      </w:r>
    </w:p>
    <w:p>
      <w:pPr>
        <w:pStyle w:val="Normal"/>
      </w:pPr>
      <w:r>
        <w:rPr/>
        <w:t xml:space="preserve">Falta confirmar si el profesor exige un runner self-hosted. Un runner de GitHub puede ejecutar las verificaciones; desplegar automáticamente en tu PC requeriría una configuración adicional.</w:t>
      </w:r>
    </w:p>
    <w:p>
      <w:pPr>
        <w:pStyle w:val="Heading1"/>
      </w:pPr>
      <w:r>
        <w:rPr/>
        <w:t xml:space="preserve">Orden para terminar la entrega</w:t>
      </w:r>
    </w:p>
    <w:p>
      <w:pPr>
        <w:pStyle w:val="Normal"/>
      </w:pPr>
      <w:r>
        <w:rPr/>
        <w:t xml:space="preserve">1. Probar productos, ventas y detalles en Postman y guardar la colección.</w:t>
        <w:br/>
        <w:t xml:space="preserve">2. Revisar los cambios y guardarlos en Git.</w:t>
        <w:br/>
        <w:t xml:space="preserve">3. Preparar Docker con la aplicación y la base de datos; repetir las pruebas.</w:t>
        <w:br/>
        <w:t xml:space="preserve">4. Configurar y verificar el workflow en GitHub Actions.</w:t>
        <w:br/>
        <w:t xml:space="preserve">5. Integrar mediante PR y preparar una versión estable en main.</w:t>
        <w:br/>
        <w:t xml:space="preserve">6. Comprobar desde main: arranque con Docker, APIs en Postman y workflow aprobado.</w:t>
      </w:r>
    </w:p>
    <w:p>
      <w:pPr>
        <w:pStyle w:val="Small"/>
      </w:pPr>
      <w:r>
        <w:rPr/>
        <w:t xml:space="preserve">La rama actual sigue siendo feature/productos-mauricio. Las referencias locales revisadas de main todavía apuntan al proyecto inicial. Antes de integrar habrá que consultar GitHub y coordinar la entrega con el equipo.</w:t>
      </w:r>
    </w:p>
    <w:sectPr>
      <w:headerReference w:type="default" r:id="rIdHeader"/>
      <w:footerReference w:type="default" r:id="rIdFooter"/>
      <w:pgSz w:w="11906" w:h="16838"/>
      <w:pgMar w:top="1000" w:right="1273" w:bottom="1000" w:left="1273" w:header="450" w:footer="450"/>
    </w:sectPr>
  </w:body>
</w:document>
</file>

<file path=word/footer1.xml><?xml version="1.0" encoding="utf-8"?>
<w:ftr xmlns:w="http://schemas.openxmlformats.org/wordprocessingml/2006/main">
  <w:p>
    <w:pPr>
      <w:pStyle w:val="Small"/>
      <w:jc w:val="right"/>
    </w:pPr>
    <w:r>
      <w:rPr/>
      <w:t xml:space="preserve">Guía de trabajo · Página </w:t>
    </w:r>
    <w:fldSimple w:instr="PAGE">
      <w:r>
        <w:t>1</w:t>
      </w:r>
    </w:fldSimple>
  </w:p>
</w:ftr>
</file>

<file path=word/header1.xml><?xml version="1.0" encoding="utf-8"?>
<w:hdr xmlns:w="http://schemas.openxmlformats.org/wordprocessingml/2006/main">
  <w:p>
    <w:pPr>
      <w:pStyle w:val="Small"/>
      <w:pBdr>
        <w:bottom w:val="single" w:sz="6" w:space="6" w:color="D9E3EA"/>
      </w:pBdr>
    </w:pPr>
    <w:r>
      <w:rPr>
        <w:b/>
      </w:rPr>
      <w:t xml:space="preserve">MINIMARKET  |  Herramientas de desarrollo</w:t>
    </w:r>
  </w:p>
</w:hdr>
</file>

<file path=word/settings.xml><?xml version="1.0" encoding="utf-8"?>
<w:settings xmlns:w="http://schemas.openxmlformats.org/wordprocessingml/2006/main">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sz w:val="22"/>
        <w:color w:val="243B4A"/>
        <w:lang w:val="es-PE"/>
      </w:rPr>
    </w:rPrDefault>
    <w:pPrDefault>
      <w:pPr>
        <w:spacing w:after="115" w:line="265" w:lineRule="auto"/>
        <w:widowControl/>
      </w:pPr>
    </w:pPrDefault>
  </w:docDefaults>
  <w:style w:type="paragraph" w:default="1" w:styleId="Normal">
    <w:name w:val="Normal"/>
  </w:style>
  <w:style w:type="paragraph" w:styleId="Title">
    <w:name w:val="Title"/>
    <w:basedOn w:val="Normal"/>
    <w:pPr>
      <w:keepNext/>
      <w:spacing w:before="80" w:after="130"/>
    </w:pPr>
    <w:rPr>
      <w:b/>
      <w:sz w:val="48"/>
      <w:color w:val="18354A"/>
    </w:rPr>
  </w:style>
  <w:style w:type="paragraph" w:styleId="Subtitle">
    <w:name w:val="Subtitle"/>
    <w:basedOn w:val="Normal"/>
    <w:pPr>
      <w:keepNext/>
      <w:spacing w:after="220"/>
    </w:pPr>
    <w:rPr>
      <w:sz w:val="23"/>
      <w:color w:val="526D7A"/>
    </w:rPr>
  </w:style>
  <w:style w:type="paragraph" w:styleId="Heading1">
    <w:name w:val="heading 1"/>
    <w:basedOn w:val="Normal"/>
    <w:pPr>
      <w:keepNext/>
      <w:keepLines/>
      <w:outlineLvl w:val="0"/>
      <w:spacing w:before="160" w:after="90"/>
    </w:pPr>
    <w:rPr>
      <w:b/>
      <w:sz w:val="27"/>
      <w:color w:val="137C86"/>
    </w:rPr>
  </w:style>
  <w:style w:type="paragraph" w:styleId="Eyebrow">
    <w:name w:val="Eyebrow"/>
    <w:basedOn w:val="Normal"/>
    <w:pPr>
      <w:keepNext/>
      <w:spacing w:after="60"/>
    </w:pPr>
    <w:rPr>
      <w:b/>
      <w:sz w:val="18"/>
      <w:color w:val="137C86"/>
    </w:rPr>
  </w:style>
  <w:style w:type="paragraph" w:styleId="Small">
    <w:name w:val="Small"/>
    <w:basedOn w:val="Normal"/>
    <w:rPr>
      <w:sz w:val="19"/>
      <w:color w:val="526D7A"/>
    </w:rPr>
  </w:style>
  <w:style w:type="paragraph" w:styleId="TableText">
    <w:name w:val="Table Text"/>
    <w:basedOn w:val="Normal"/>
    <w:pPr>
      <w:spacing w:after="0" w:line="240" w:lineRule="auto"/>
    </w:pPr>
    <w:rPr>
      <w:sz w:val="21"/>
    </w:rPr>
  </w:style>
  <w:style w:type="paragraph" w:styleId="Callout">
    <w:name w:val="Callout"/>
    <w:basedOn w:val="Normal"/>
    <w:pPr>
      <w:keepLines/>
      <w:shd w:fill="EAF5F4"/>
      <w:spacing w:before="80" w:after="160"/>
      <w:ind w:left="140" w:right="140"/>
      <w:pBdr>
        <w:left w:val="single" w:sz="20" w:space="8" w:color="137C86"/>
      </w:pBdr>
    </w:pPr>
    <w:rPr>
      <w:b/>
      <w:sz w:val="21"/>
    </w:rPr>
  </w:style>
  <w:style w:type="paragraph" w:styleId="Code">
    <w:name w:val="Code"/>
    <w:basedOn w:val="Normal"/>
    <w:pPr>
      <w:keepLines/>
      <w:shd w:fill="F0F3F6"/>
      <w:ind w:left="140" w:right="140"/>
      <w:spacing w:before="60" w:after="130" w:line="235" w:lineRule="auto"/>
    </w:pPr>
    <w:rPr>
      <w:rFonts w:ascii="Consolas" w:hAnsi="Consolas"/>
      <w:sz w:val="19"/>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Guía del minimarket: APIs, Postman, Docker y Gitflow</dc:title>
  <dc:subject>Explicación del proyecto y próximos pasos</dc:subject>
  <dc:creator>Equipo Minimarket</dc:creator>
  <dc:language>es-PE</dc:language>
</cp:coreProperties>
</file>