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Arial" w:hAnsi="Arial"/>
          <w:b/>
          <w:color w:val="28322D"/>
          <w:sz w:val="52"/>
        </w:rPr>
        <w:t>HTR SISTEMAS</w:t>
      </w:r>
    </w:p>
    <w:p>
      <w:pPr>
        <w:spacing w:after="480"/>
        <w:jc w:val="center"/>
      </w:pPr>
      <w:r>
        <w:rPr>
          <w:rFonts w:ascii="Arial" w:hAnsi="Arial"/>
          <w:color w:val="415048"/>
          <w:sz w:val="26"/>
        </w:rPr>
        <w:t>Guia de Posicionamento, Tom de Voz, Identidade Visual e Naming</w:t>
      </w:r>
    </w:p>
    <w:p>
      <w:r>
        <w:rPr>
          <w:b w:val="0"/>
          <w:color w:val="2C3E50"/>
        </w:rPr>
        <w:t xml:space="preserve">No mercado do agronegócio de grande porte — especialmente ao lidar com grandes produtores, cooperativas, transportadoras e agroindústrias —, a tecnologia pela tecnologia não vende. O campo lida com variáveis incontroláveis diariamente: o clima, o mercado de commodities e o custo do frete. Por isso, o ativo mais valioso que uma marca pode oferecer ao tomador de decisão (C-Level, CFOs, Diretores de TI) é a </w:t>
      </w:r>
      <w:r>
        <w:rPr>
          <w:b/>
          <w:color w:val="D35400"/>
        </w:rPr>
        <w:t>previsibilidade</w:t>
      </w:r>
      <w:r>
        <w:t>. A marca HTR Sistemas carrega em sua essência o significado de robustez, engenharia de precisão e controle estruturado, prestando uma homenagem direta ao nome do seu filho, Heitor.</w:t>
      </w:r>
    </w:p>
    <w:p>
      <w:pPr>
        <w:pStyle w:val="Heading1"/>
        <w:keepNext/>
        <w:spacing w:before="360" w:after="120"/>
        <w:pBdr>
          <w:bottom w:val="single" w:sz="12" w:space="4" w:color="28322D"/>
        </w:pBdr>
      </w:pPr>
      <w:r>
        <w:rPr>
          <w:rFonts w:ascii="Arial" w:hAnsi="Arial"/>
          <w:b/>
          <w:color w:val="28322D"/>
          <w:sz w:val="36"/>
        </w:rPr>
        <w:t>1. Origem do Nome: HTR Sistemas</w:t>
      </w:r>
    </w:p>
    <w:p>
      <w:r>
        <w:t>A escolha da sigla HTR Sistemas baseia-se numa estratégia madura e consolidada para o mercado corporativo B2B de alto padrão. O nome traz camadas profundas de significado comercial e pessoal:</w:t>
      </w:r>
    </w:p>
    <w:p>
      <w:pPr>
        <w:pStyle w:val="ListBullet"/>
      </w:pPr>
      <w:r>
        <w:rPr>
          <w:b/>
        </w:rPr>
        <w:t xml:space="preserve">Essência Familiar (Heitor): </w:t>
      </w:r>
      <w:r>
        <w:t>O nome preserva as consoantes principais do nome do seu filho, trazendo um legado de solidez e propósito à marca.</w:t>
      </w:r>
    </w:p>
    <w:p>
      <w:pPr>
        <w:pStyle w:val="ListBullet"/>
      </w:pPr>
      <w:r>
        <w:rPr>
          <w:b/>
        </w:rPr>
        <w:t xml:space="preserve">Significado Mitológico: </w:t>
      </w:r>
      <w:r>
        <w:t>Do grego Héktor, significa 'aquele que retém firmemente' ou 'o que mantém'. Conecta-se perfeitamente com a promessa de reter o controle dos projetos e eliminar imprevistos.</w:t>
      </w:r>
    </w:p>
    <w:p>
      <w:pPr>
        <w:pStyle w:val="ListBullet"/>
      </w:pPr>
      <w:r>
        <w:rPr>
          <w:b/>
        </w:rPr>
        <w:t xml:space="preserve">Alinhamento de Mercado: </w:t>
      </w:r>
      <w:r>
        <w:t>O uso de siglas curtas com consoantes fortes posiciona a empresa no mesmo patamar estético e institucional de gigantes do setor agroindustrial e tecnológico (como SLC Agrícola, JBS, IBM, TOTVS).</w:t>
      </w:r>
    </w:p>
    <w:p>
      <w:pPr>
        <w:pStyle w:val="Heading1"/>
        <w:keepNext/>
        <w:spacing w:before="240" w:after="120"/>
        <w:pBdr>
          <w:bottom w:val="single" w:sz="12" w:space="4" w:color="28322D"/>
        </w:pBdr>
      </w:pPr>
      <w:r>
        <w:rPr>
          <w:rFonts w:ascii="Arial" w:hAnsi="Arial"/>
          <w:b/>
          <w:color w:val="28322D"/>
          <w:sz w:val="36"/>
        </w:rPr>
        <w:t>2. Posicionamento de Marca: Alta Governança</w:t>
      </w:r>
    </w:p>
    <w:p>
      <w:r>
        <w:t>A HTR Sistemas não concorre com 'fábricas de software de prateleira' ou agências digitais genéricas. A empresa posiciona-se como uma grife de engenharia corporativa que mitiga riscos financeiros e operacionais para o ecossistema do agro.</w:t>
      </w:r>
    </w:p>
    <w:p>
      <w:r>
        <w:rPr>
          <w:b/>
        </w:rPr>
        <w:t xml:space="preserve">A Grande Promessa: </w:t>
      </w:r>
      <w:r>
        <w:t>Engenharia de software com previsibilidade rigorosa, escopo fechado e entrega garantida em contrato.</w:t>
      </w:r>
    </w:p>
    <w:p>
      <w:r>
        <w:t>O maior diferencial comercial da HTR Sistemas é a eliminação do medo ancestral do CFO e do Diretor de TI: projetos que estouram o orçamento ou que nunca terminam. Toda a arquitetura de software, integrações industriais e ERPs são desenhados milimetricamente antes de escrever a primeira linha de código.</w:t>
      </w:r>
    </w:p>
    <w:p>
      <w:pPr>
        <w:pStyle w:val="Heading1"/>
        <w:keepNext/>
        <w:spacing w:before="240" w:after="120"/>
        <w:pBdr>
          <w:bottom w:val="single" w:sz="12" w:space="4" w:color="28322D"/>
        </w:pBdr>
      </w:pPr>
      <w:r>
        <w:rPr>
          <w:rFonts w:ascii="Arial" w:hAnsi="Arial"/>
          <w:b/>
          <w:color w:val="28322D"/>
          <w:sz w:val="36"/>
        </w:rPr>
        <w:t>3. Arquétipos de Marca (Jung)</w:t>
      </w:r>
    </w:p>
    <w:p>
      <w:r>
        <w:t>Para se conectar com contas de grande porte (como o Grupo Facholi), a HTR opera na interseção da liderança institucional e do conhecimento técnico profundo: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415048"/>
          <w:sz w:val="28"/>
        </w:rPr>
        <w:t>Arquétipo Principal: O Governante</w:t>
      </w:r>
    </w:p>
    <w:p>
      <w:r>
        <w:t>O agroindústria respeita a ordem, a segurança, a estabilidade e o poder de escala. O Governante transmite autoridade e excelência. Ao garantir o investimento e o escopo em contrato antes do início da execução, a HTR assume a postura do líder que elimina o caos tradicional da gestão de TI.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415048"/>
          <w:sz w:val="28"/>
        </w:rPr>
        <w:t>Arquétipo Secundário: O Sábio</w:t>
      </w:r>
    </w:p>
    <w:p>
      <w:r>
        <w:t>O tomador de decisões do agro corporativo é cético em relação a discursos de marketing vazios. O Sábio traz à tona a autoridade consultiva: a HTR entende a complexidade do campo, sabe como integrar dados de balanças de confinamento, frotas logísticas e regras fiscais complexas, tratando a tecnologia como uma ciência exata.</w:t>
      </w:r>
    </w:p>
    <w:p>
      <w:pPr>
        <w:pStyle w:val="Heading1"/>
        <w:keepNext/>
        <w:spacing w:before="240" w:after="120"/>
        <w:pBdr>
          <w:bottom w:val="single" w:sz="12" w:space="4" w:color="28322D"/>
        </w:pBdr>
      </w:pPr>
      <w:r>
        <w:rPr>
          <w:rFonts w:ascii="Arial" w:hAnsi="Arial"/>
          <w:b/>
          <w:color w:val="28322D"/>
          <w:sz w:val="36"/>
        </w:rPr>
        <w:t>4. Tom de Voz Corporativo</w:t>
      </w:r>
    </w:p>
    <w:p>
      <w:r>
        <w:t>O tom de voz deve ser sóbrio, assertivo, cirúrgico e focado em Governança, ROI (Retorno sobre Investimento) e Eficiência Operacional. Devem ser evitados jargões informais de startups e 'tecnologês' desnecessário.</w:t>
      </w:r>
    </w:p>
    <w:p>
      <w:pPr>
        <w:pStyle w:val="Heading3"/>
        <w:keepNext/>
        <w:spacing w:before="240" w:after="120"/>
      </w:pPr>
      <w:r>
        <w:rPr>
          <w:rFonts w:ascii="Arial" w:hAnsi="Arial"/>
          <w:b/>
          <w:i/>
          <w:color w:val="D35400"/>
          <w:sz w:val="24"/>
        </w:rPr>
        <w:t>Exemplos de Aplicação para a Página Inicial (Home):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5"/>
            <w:tcBorders>
              <w:left w:val="single" w:sz="36" w:space="0" w:color="D35400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160" w:right="160"/>
            </w:pPr>
            <w:r>
              <w:rPr>
                <w:rFonts w:ascii="Arial" w:hAnsi="Arial"/>
                <w:i/>
                <w:color w:val="3C3C3C"/>
                <w:sz w:val="21"/>
              </w:rPr>
              <w:t>"Sistemas corporativos sob medida para o agronegócio. Escopo fechado, investimento definido e entrega garantida."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5"/>
            <w:tcBorders>
              <w:left w:val="single" w:sz="36" w:space="0" w:color="D35400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160" w:right="160"/>
            </w:pPr>
            <w:r>
              <w:rPr>
                <w:rFonts w:ascii="Arial" w:hAnsi="Arial"/>
                <w:i/>
                <w:color w:val="3C3C3C"/>
                <w:sz w:val="21"/>
              </w:rPr>
              <w:t>"A HTR desenha toda a arquitetura de software e integrações industriais antes de escrever a primeira linha de código. Engenharia de precisão para eliminar riscos na sua TI."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5"/>
            <w:tcBorders>
              <w:left w:val="single" w:sz="36" w:space="0" w:color="D35400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160" w:right="160"/>
            </w:pPr>
            <w:r>
              <w:rPr>
                <w:rFonts w:ascii="Arial" w:hAnsi="Arial"/>
                <w:i/>
                <w:color w:val="3C3C3C"/>
                <w:sz w:val="21"/>
              </w:rPr>
              <w:t>"Integramos dados de balanças, frotas, processos fiscais e ERPs em plataformas robustas criadas sob medida para a escala da sua agroindústria."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240" w:after="120"/>
        <w:pBdr>
          <w:bottom w:val="single" w:sz="12" w:space="4" w:color="28322D"/>
        </w:pBdr>
      </w:pPr>
      <w:r>
        <w:rPr>
          <w:rFonts w:ascii="Arial" w:hAnsi="Arial"/>
          <w:b/>
          <w:color w:val="28322D"/>
          <w:sz w:val="36"/>
        </w:rPr>
        <w:t>5. Direcionamento Visual: Robustez Industrial</w:t>
      </w:r>
    </w:p>
    <w:p>
      <w:r>
        <w:t>A identidade visual deve afastar-se do visual tecnológico frágil ou clichê (como azul neon vibrante) e focar na robustez pesada de infraestruturas do agronegócio moderno (silos, indústrias, frotas).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415048"/>
          <w:sz w:val="28"/>
        </w:rPr>
        <w:t>Paleta de Cores Recomendada:</w:t>
      </w:r>
    </w:p>
    <w:p>
      <w:pPr>
        <w:pStyle w:val="ListBullet"/>
      </w:pPr>
      <w:r>
        <w:rPr>
          <w:b/>
        </w:rPr>
        <w:t xml:space="preserve">Cinza Grafite Industrial (70% - Predominante): </w:t>
      </w:r>
      <w:r>
        <w:t>Representa aço, estruturas pesadas, automação de fábricas e a sobriedade corporativa.</w:t>
      </w:r>
    </w:p>
    <w:p>
      <w:pPr>
        <w:pStyle w:val="ListBullet"/>
      </w:pPr>
      <w:r>
        <w:rPr>
          <w:b/>
        </w:rPr>
        <w:t xml:space="preserve">Verde Oliva Fechado (20% - Coadjuvante): </w:t>
      </w:r>
      <w:r>
        <w:t>Conecta a marca à terra e à maturidade do setor produtivo tradicional de forma elegante.</w:t>
      </w:r>
    </w:p>
    <w:p>
      <w:pPr>
        <w:pStyle w:val="ListBullet"/>
      </w:pPr>
      <w:r>
        <w:rPr>
          <w:b/>
        </w:rPr>
        <w:t xml:space="preserve">Laranja Queimado / Terracota (10% - Destaque): </w:t>
      </w:r>
      <w:r>
        <w:t>Utilizado estritamente em botões de ação (CTAs) e pontos críticos de gráficos, indicando energia e solo fértil.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415048"/>
          <w:sz w:val="28"/>
        </w:rPr>
        <w:t>Tipografia e Grafismos:</w:t>
      </w:r>
    </w:p>
    <w:p>
      <w:r>
        <w:t>• Tipografia Institucional (Manrope): Transmite leitura limpa, sofisticação e modernidade sóbria.</w:t>
        <w:br/>
        <w:t>• Tipografia Técnica (JetBrains Mono): Mantida estrategicamente para exibição de dados, tabelas, métricas ou códigos de integração, reforçando o DNA de exatidão matemática.</w:t>
        <w:br/>
        <w:t>• Grafismos: Uso de grids lineares, linhas guias milimétricas e esquemas estruturados que remetem a projetos de arquitetura e engenharia.</w:t>
      </w:r>
    </w:p>
    <w:p>
      <w:pPr>
        <w:pStyle w:val="Heading1"/>
        <w:keepNext/>
        <w:spacing w:before="240" w:after="120"/>
        <w:pBdr>
          <w:bottom w:val="single" w:sz="12" w:space="4" w:color="28322D"/>
        </w:pBdr>
      </w:pPr>
      <w:r>
        <w:rPr>
          <w:rFonts w:ascii="Arial" w:hAnsi="Arial"/>
          <w:b/>
          <w:color w:val="28322D"/>
          <w:sz w:val="36"/>
        </w:rPr>
        <w:t>6. Sugestões de Slogans / Taglines</w:t>
      </w:r>
    </w:p>
    <w:p>
      <w:r>
        <w:t>Opções ideais para assinar a identidade da HTR Sistemas:</w:t>
      </w:r>
    </w:p>
    <w:p>
      <w:r>
        <w:t>1. HTR Sistemas | Escopo definido. Resultado previsível. (Recomendado)</w:t>
        <w:br/>
        <w:t>2. HTR | Engenharia de software para o agronegócio de precisão.</w:t>
        <w:br/>
        <w:t>3. HTR Sistemas | Arquitetura corporativa sob medida para o agro.</w:t>
        <w:br/>
        <w:t>4. HTR | Inovação com previsibilidade garantida.</w:t>
        <w:br/>
        <w:t>5. HTR Sistemas | Tecnologia sólida para operações complexas.</w:t>
      </w:r>
    </w:p>
    <w:p>
      <w:pPr>
        <w:pStyle w:val="Heading1"/>
        <w:keepNext/>
        <w:spacing w:before="240" w:after="120"/>
        <w:pBdr>
          <w:bottom w:val="single" w:sz="12" w:space="4" w:color="28322D"/>
        </w:pBdr>
      </w:pPr>
      <w:r>
        <w:rPr>
          <w:rFonts w:ascii="Arial" w:hAnsi="Arial"/>
          <w:b/>
          <w:color w:val="28322D"/>
          <w:sz w:val="36"/>
        </w:rPr>
        <w:t>7. Estrutura Estratégica de SEO / HTML Atualizada</w:t>
      </w:r>
    </w:p>
    <w:p>
      <w:r>
        <w:t>Abaixo está a configuração técnica recomendada para o topo do código HTML do novo site, otimizado para o LinkedIn e mecanismos de busca focados em grandes contas B2B: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5"/>
            <w:tcBorders>
              <w:left w:val="single" w:sz="36" w:space="0" w:color="28322D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160" w:right="160"/>
            </w:pPr>
            <w:r>
              <w:rPr>
                <w:rFonts w:ascii="Courier New" w:hAnsi="Courier New"/>
                <w:i w:val="0"/>
                <w:color w:val="3C3C3C"/>
                <w:sz w:val="19"/>
              </w:rPr>
              <w:t>&lt;!doctype html&gt;</w:t>
              <w:br/>
              <w:t>&lt;html lang="pt-BR"&gt;</w:t>
              <w:br/>
              <w:t xml:space="preserve">  &lt;head&gt;</w:t>
              <w:br/>
              <w:t xml:space="preserve">    &lt;meta charset="UTF-8" /&gt;</w:t>
              <w:br/>
              <w:t xml:space="preserve">    &lt;meta name="viewport" content="width=device-width, initial-scale=1.0" /&gt;</w:t>
              <w:br/>
              <w:t xml:space="preserve">    &lt;meta name="theme-color" content="#1a2421" /&gt; &lt;!-- Verde escuro quase grafite --&gt;</w:t>
              <w:br/>
              <w:t xml:space="preserve">    &lt;link rel="icon" type="image/svg+xml" href="/favicon.svg" /&gt;</w:t>
              <w:br/>
              <w:br/>
              <w:t xml:space="preserve">    &lt;title&gt;HTR Sistemas | Engenharia de Software Sob Medida para o Agronegócio&lt;/title&gt;</w:t>
              <w:br/>
              <w:t xml:space="preserve">    &lt;meta name="description" content="Sistemas corporativos, ERPs internos e integrações industriais para fazendas, cooperativas e agroindústrias. Escopo e investimento definidos antes do código." /&gt;</w:t>
              <w:br/>
              <w:br/>
              <w:t xml:space="preserve">    &lt;!-- Open Graph (WhatsApp, LinkedIn) --&gt;</w:t>
              <w:br/>
              <w:t xml:space="preserve">    &lt;meta property="og:site_name" content="HTR Sistemas" /&gt;</w:t>
              <w:br/>
              <w:t xml:space="preserve">    &lt;meta property="og:title" content="HTR Sistemas | Tecnologia Corporativa para o Agronegócio" /&gt;</w:t>
              <w:br/>
              <w:t xml:space="preserve">    &lt;meta property="og:description" content="Automação de processos e sistemas sob medida com previsibilidade garantida em contrato. Projetados milimetricamente do escopo à entrega." /&gt;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Arial" w:hAnsi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