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color w:val="1F3864"/>
          <w:sz w:val="20"/>
          <w:szCs w:val="20"/>
        </w:rPr>
        <w:t xml:space="preserve">Tecnológico de Costa Rica</w:t>
      </w:r>
    </w:p>
    <w:p>
      <w:pPr>
        <w:jc w:val="center"/>
      </w:pPr>
      <w:r>
        <w:rPr>
          <w:rFonts w:ascii="Calibri" w:cs="Calibri" w:eastAsia="Calibri" w:hAnsi="Calibri"/>
          <w:color w:val="555555"/>
          <w:sz w:val="20"/>
          <w:szCs w:val="20"/>
        </w:rPr>
        <w:t xml:space="preserve">Escuela de Administración de Empresas</w:t>
      </w:r>
    </w:p>
    <w:p>
      <w:pPr>
        <w:spacing w:after="200"/>
        <w:jc w:val="center"/>
      </w:pPr>
      <w:r>
        <w:rPr>
          <w:rFonts w:ascii="Calibri" w:cs="Calibri" w:eastAsia="Calibri" w:hAnsi="Calibri"/>
          <w:color w:val="555555"/>
          <w:sz w:val="20"/>
          <w:szCs w:val="20"/>
        </w:rPr>
        <w:t xml:space="preserve">AE-2219 Comportamiento Organizacional  |  Prof. Pablo Garita Alpízar</w:t>
      </w:r>
    </w:p>
    <w:p>
      <w:pPr>
        <w:spacing w:after="100"/>
        <w:jc w:val="center"/>
      </w:pPr>
      <w:r>
        <w:rPr>
          <w:rFonts w:ascii="Calibri" w:cs="Calibri" w:eastAsia="Calibri" w:hAnsi="Calibri"/>
          <w:b/>
          <w:bCs/>
          <w:color w:val="1F3864"/>
          <w:sz w:val="32"/>
          <w:szCs w:val="32"/>
        </w:rPr>
        <w:t xml:space="preserve">INFORME DE HALLAZGOS — TEAM BUILDING</w:t>
      </w:r>
    </w:p>
    <w:p>
      <w:pPr>
        <w:spacing w:after="80"/>
        <w:jc w:val="center"/>
      </w:pPr>
      <w:r>
        <w:rPr>
          <w:rFonts w:ascii="Calibri" w:cs="Calibri" w:eastAsia="Calibri" w:hAnsi="Calibri"/>
          <w:b/>
          <w:bCs/>
          <w:color w:val="2E74B5"/>
          <w:sz w:val="24"/>
          <w:szCs w:val="24"/>
        </w:rPr>
        <w:t xml:space="preserve">Semana 6: Eficiencia y Puntualidad</w:t>
      </w:r>
    </w:p>
    <w:p>
      <w:pPr>
        <w:spacing w:after="300"/>
        <w:jc w:val="center"/>
      </w:pPr>
      <w:r>
        <w:rPr>
          <w:rFonts w:ascii="Calibri" w:cs="Calibri" w:eastAsia="Calibri" w:hAnsi="Calibri"/>
          <w:b/>
          <w:bCs/>
          <w:color w:val="2E74B5"/>
          <w:sz w:val="22"/>
          <w:szCs w:val="22"/>
        </w:rPr>
        <w:t xml:space="preserve">Equipo responsable: Control de Calidad</w:t>
      </w:r>
    </w:p>
    <w:p>
      <w:pPr>
        <w:spacing w:after="60"/>
      </w:pPr>
      <w:r>
        <w:t xml:space="preserve"/>
      </w:r>
    </w:p>
    <w:p>
      <w:pPr>
        <w:pBdr>
          <w:bottom w:val="single" w:color="1F3864" w:sz="6" w:space="1"/>
        </w:pBdr>
        <w:spacing w:after="100" w:before="300"/>
      </w:pPr>
      <w:r>
        <w:rPr>
          <w:rFonts w:ascii="Calibri" w:cs="Calibri" w:eastAsia="Calibri" w:hAnsi="Calibri"/>
          <w:b/>
          <w:bCs/>
          <w:color w:val="1F3864"/>
          <w:sz w:val="26"/>
          <w:szCs w:val="26"/>
        </w:rPr>
        <w:t xml:space="preserve">1. Diagnóstico: Lo que planeamos vs. lo que vivimos</w:t>
      </w:r>
    </w:p>
    <w:p>
      <w:pPr>
        <w:spacing w:after="60"/>
      </w:pPr>
      <w:r>
        <w:t xml:space="preserve"/>
      </w:r>
    </w:p>
    <w:p>
      <w:pPr>
        <w:spacing w:after="120"/>
        <w:jc w:val="both"/>
      </w:pPr>
      <w:r>
        <w:rPr>
          <w:rFonts w:ascii="Calibri" w:cs="Calibri" w:eastAsia="Calibri" w:hAnsi="Calibri"/>
          <w:b w:val="false"/>
          <w:bCs w:val="false"/>
          <w:sz w:val="22"/>
          <w:szCs w:val="22"/>
        </w:rPr>
        <w:t xml:space="preserve">Diseñamos una actividad centrada en la construcción y el lanzamiento de aviones de papel bajo presión de tiempo, con la intención de poner a prueba cómo cada departamento organiza su trabajo, distribuye roles y respeta los tiempos bajo presión. La idea era simple pero poderosa: construir algo tangible en poco tiempo revela muchísimo sobre cómo funciona un equipo de verdad.</w:t>
      </w:r>
    </w:p>
    <w:p>
      <w:pPr>
        <w:spacing w:after="60"/>
      </w:pPr>
      <w:r>
        <w:t xml:space="preserve"/>
      </w:r>
    </w:p>
    <w:p>
      <w:pPr>
        <w:spacing w:after="120"/>
        <w:jc w:val="both"/>
      </w:pPr>
      <w:r>
        <w:rPr>
          <w:rFonts w:ascii="Calibri" w:cs="Calibri" w:eastAsia="Calibri" w:hAnsi="Calibri"/>
          <w:b w:val="false"/>
          <w:bCs w:val="false"/>
          <w:sz w:val="22"/>
          <w:szCs w:val="22"/>
        </w:rPr>
        <w:t xml:space="preserve">A continuación comparamos lo que teníamos en mente con lo que realmente vivimos en el salón:</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Aspecto</w:t>
            </w:r>
          </w:p>
        </w:tc>
        <w:tc>
          <w:tcPr>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Lo que se esperaba</w:t>
            </w:r>
          </w:p>
        </w:tc>
        <w:tc>
          <w:tcPr>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Lo que realmente pasó</w:t>
            </w:r>
          </w:p>
        </w:tc>
      </w:tr>
      <w:tr>
        <w:tc>
          <w:tcPr>
            <w:shd w:fill="F2F2F2" w:val="clear"/>
            <w:tcMar>
              <w:top w:type="dxa" w:w="60"/>
              <w:left w:type="dxa" w:w="100"/>
              <w:bottom w:type="dxa" w:w="60"/>
              <w:right w:type="dxa" w:w="100"/>
            </w:tcMar>
          </w:tcPr>
          <w:p>
            <w:pPr>
              <w:jc w:val="both"/>
            </w:pPr>
            <w:r>
              <w:rPr>
                <w:rFonts w:ascii="Calibri" w:cs="Calibri" w:eastAsia="Calibri" w:hAnsi="Calibri"/>
                <w:sz w:val="20"/>
                <w:szCs w:val="20"/>
              </w:rPr>
              <w:t xml:space="preserve">Marcado de hojas</w:t>
            </w:r>
          </w:p>
        </w:tc>
        <w:tc>
          <w:tcPr>
            <w:shd w:fill="F2F2F2" w:val="clear"/>
            <w:tcMar>
              <w:top w:type="dxa" w:w="60"/>
              <w:left w:type="dxa" w:w="100"/>
              <w:bottom w:type="dxa" w:w="60"/>
              <w:right w:type="dxa" w:w="100"/>
            </w:tcMar>
          </w:tcPr>
          <w:p>
            <w:pPr>
              <w:jc w:val="both"/>
            </w:pPr>
            <w:r>
              <w:rPr>
                <w:rFonts w:ascii="Calibri" w:cs="Calibri" w:eastAsia="Calibri" w:hAnsi="Calibri"/>
                <w:sz w:val="20"/>
                <w:szCs w:val="20"/>
              </w:rPr>
              <w:t xml:space="preserve">Todos los grupos marcarían sus hojas correctamente desde el inicio</w:t>
            </w:r>
          </w:p>
        </w:tc>
        <w:tc>
          <w:tcPr>
            <w:shd w:fill="F2F2F2" w:val="clear"/>
            <w:tcMar>
              <w:top w:type="dxa" w:w="60"/>
              <w:left w:type="dxa" w:w="100"/>
              <w:bottom w:type="dxa" w:w="60"/>
              <w:right w:type="dxa" w:w="100"/>
            </w:tcMar>
          </w:tcPr>
          <w:p>
            <w:pPr>
              <w:jc w:val="both"/>
            </w:pPr>
            <w:r>
              <w:rPr>
                <w:rFonts w:ascii="Calibri" w:cs="Calibri" w:eastAsia="Calibri" w:hAnsi="Calibri"/>
                <w:sz w:val="20"/>
                <w:szCs w:val="20"/>
              </w:rPr>
              <w:t xml:space="preserve">Varios equipos no marcaron todas las hojas, lo que les complicó el arranque y generó algo de desorden</w:t>
            </w:r>
          </w:p>
        </w:tc>
      </w:tr>
      <w:tr>
        <w:tc>
          <w:tcPr>
            <w:shd w:fill="FFFFFF" w:val="clear"/>
            <w:tcMar>
              <w:top w:type="dxa" w:w="60"/>
              <w:left w:type="dxa" w:w="100"/>
              <w:bottom w:type="dxa" w:w="60"/>
              <w:right w:type="dxa" w:w="100"/>
            </w:tcMar>
          </w:tcPr>
          <w:p>
            <w:pPr>
              <w:jc w:val="both"/>
            </w:pPr>
            <w:r>
              <w:rPr>
                <w:rFonts w:ascii="Calibri" w:cs="Calibri" w:eastAsia="Calibri" w:hAnsi="Calibri"/>
                <w:sz w:val="20"/>
                <w:szCs w:val="20"/>
              </w:rPr>
              <w:t xml:space="preserve">Participación</w:t>
            </w:r>
          </w:p>
        </w:tc>
        <w:tc>
          <w:tcPr>
            <w:shd w:fill="FFFFFF" w:val="clear"/>
            <w:tcMar>
              <w:top w:type="dxa" w:w="60"/>
              <w:left w:type="dxa" w:w="100"/>
              <w:bottom w:type="dxa" w:w="60"/>
              <w:right w:type="dxa" w:w="100"/>
            </w:tcMar>
          </w:tcPr>
          <w:p>
            <w:pPr>
              <w:jc w:val="both"/>
            </w:pPr>
            <w:r>
              <w:rPr>
                <w:rFonts w:ascii="Calibri" w:cs="Calibri" w:eastAsia="Calibri" w:hAnsi="Calibri"/>
                <w:sz w:val="20"/>
                <w:szCs w:val="20"/>
              </w:rPr>
              <w:t xml:space="preserve">Cada integrante construiría su propio avión de forma activa</w:t>
            </w:r>
          </w:p>
        </w:tc>
        <w:tc>
          <w:tcPr>
            <w:shd w:fill="FFFFFF" w:val="clear"/>
            <w:tcMar>
              <w:top w:type="dxa" w:w="60"/>
              <w:left w:type="dxa" w:w="100"/>
              <w:bottom w:type="dxa" w:w="60"/>
              <w:right w:type="dxa" w:w="100"/>
            </w:tcMar>
          </w:tcPr>
          <w:p>
            <w:pPr>
              <w:jc w:val="both"/>
            </w:pPr>
            <w:r>
              <w:rPr>
                <w:rFonts w:ascii="Calibri" w:cs="Calibri" w:eastAsia="Calibri" w:hAnsi="Calibri"/>
                <w:sz w:val="20"/>
                <w:szCs w:val="20"/>
              </w:rPr>
              <w:t xml:space="preserve">Hubo personas que no participaron en la construcción, lo que redujo el aporte de esos equipos</w:t>
            </w:r>
          </w:p>
        </w:tc>
      </w:tr>
      <w:tr>
        <w:tc>
          <w:tcPr>
            <w:shd w:fill="F2F2F2" w:val="clear"/>
            <w:tcMar>
              <w:top w:type="dxa" w:w="60"/>
              <w:left w:type="dxa" w:w="100"/>
              <w:bottom w:type="dxa" w:w="60"/>
              <w:right w:type="dxa" w:w="100"/>
            </w:tcMar>
          </w:tcPr>
          <w:p>
            <w:pPr>
              <w:jc w:val="both"/>
            </w:pPr>
            <w:r>
              <w:rPr>
                <w:rFonts w:ascii="Calibri" w:cs="Calibri" w:eastAsia="Calibri" w:hAnsi="Calibri"/>
                <w:sz w:val="20"/>
                <w:szCs w:val="20"/>
              </w:rPr>
              <w:t xml:space="preserve">Trabajo en equipo</w:t>
            </w:r>
          </w:p>
        </w:tc>
        <w:tc>
          <w:tcPr>
            <w:shd w:fill="F2F2F2" w:val="clear"/>
            <w:tcMar>
              <w:top w:type="dxa" w:w="60"/>
              <w:left w:type="dxa" w:w="100"/>
              <w:bottom w:type="dxa" w:w="60"/>
              <w:right w:type="dxa" w:w="100"/>
            </w:tcMar>
          </w:tcPr>
          <w:p>
            <w:pPr>
              <w:jc w:val="both"/>
            </w:pPr>
            <w:r>
              <w:rPr>
                <w:rFonts w:ascii="Calibri" w:cs="Calibri" w:eastAsia="Calibri" w:hAnsi="Calibri"/>
                <w:sz w:val="20"/>
                <w:szCs w:val="20"/>
              </w:rPr>
              <w:t xml:space="preserve">Cada quien asumiría su tarea de manera individual</w:t>
            </w:r>
          </w:p>
        </w:tc>
        <w:tc>
          <w:tcPr>
            <w:shd w:fill="F2F2F2" w:val="clear"/>
            <w:tcMar>
              <w:top w:type="dxa" w:w="60"/>
              <w:left w:type="dxa" w:w="100"/>
              <w:bottom w:type="dxa" w:w="60"/>
              <w:right w:type="dxa" w:w="100"/>
            </w:tcMar>
          </w:tcPr>
          <w:p>
            <w:pPr>
              <w:jc w:val="both"/>
            </w:pPr>
            <w:r>
              <w:rPr>
                <w:rFonts w:ascii="Calibri" w:cs="Calibri" w:eastAsia="Calibri" w:hAnsi="Calibri"/>
                <w:sz w:val="20"/>
                <w:szCs w:val="20"/>
              </w:rPr>
              <w:t xml:space="preserve">Algunos decidieron unirse en parejas para apoyarse mutuamente y sacar adelante la actividad</w:t>
            </w:r>
          </w:p>
        </w:tc>
      </w:tr>
      <w:tr>
        <w:tc>
          <w:tcPr>
            <w:shd w:fill="FFFFFF" w:val="clear"/>
            <w:tcMar>
              <w:top w:type="dxa" w:w="60"/>
              <w:left w:type="dxa" w:w="100"/>
              <w:bottom w:type="dxa" w:w="60"/>
              <w:right w:type="dxa" w:w="100"/>
            </w:tcMar>
          </w:tcPr>
          <w:p>
            <w:pPr>
              <w:jc w:val="both"/>
            </w:pPr>
            <w:r>
              <w:rPr>
                <w:rFonts w:ascii="Calibri" w:cs="Calibri" w:eastAsia="Calibri" w:hAnsi="Calibri"/>
                <w:sz w:val="20"/>
                <w:szCs w:val="20"/>
              </w:rPr>
              <w:t xml:space="preserve">Inicio de la dinámica</w:t>
            </w:r>
          </w:p>
        </w:tc>
        <w:tc>
          <w:tcPr>
            <w:shd w:fill="FFFFFF" w:val="clear"/>
            <w:tcMar>
              <w:top w:type="dxa" w:w="60"/>
              <w:left w:type="dxa" w:w="100"/>
              <w:bottom w:type="dxa" w:w="60"/>
              <w:right w:type="dxa" w:w="100"/>
            </w:tcMar>
          </w:tcPr>
          <w:p>
            <w:pPr>
              <w:jc w:val="both"/>
            </w:pPr>
            <w:r>
              <w:rPr>
                <w:rFonts w:ascii="Calibri" w:cs="Calibri" w:eastAsia="Calibri" w:hAnsi="Calibri"/>
                <w:sz w:val="20"/>
                <w:szCs w:val="20"/>
              </w:rPr>
              <w:t xml:space="preserve">Todos arrancarían desde cero con el mismo nivel de preparación</w:t>
            </w:r>
          </w:p>
        </w:tc>
        <w:tc>
          <w:tcPr>
            <w:shd w:fill="FFFFFF" w:val="clear"/>
            <w:tcMar>
              <w:top w:type="dxa" w:w="60"/>
              <w:left w:type="dxa" w:w="100"/>
              <w:bottom w:type="dxa" w:w="60"/>
              <w:right w:type="dxa" w:w="100"/>
            </w:tcMar>
          </w:tcPr>
          <w:p>
            <w:pPr>
              <w:jc w:val="both"/>
            </w:pPr>
            <w:r>
              <w:rPr>
                <w:rFonts w:ascii="Calibri" w:cs="Calibri" w:eastAsia="Calibri" w:hAnsi="Calibri"/>
                <w:sz w:val="20"/>
                <w:szCs w:val="20"/>
              </w:rPr>
              <w:t xml:space="preserve">Algunos grupos ya tenían avances antes de la señal; otros aprovecharon el turno ajeno para mejorar sus diseños</w:t>
            </w:r>
          </w:p>
        </w:tc>
      </w:tr>
      <w:tr>
        <w:tc>
          <w:tcPr>
            <w:shd w:fill="F2F2F2" w:val="clear"/>
            <w:tcMar>
              <w:top w:type="dxa" w:w="60"/>
              <w:left w:type="dxa" w:w="100"/>
              <w:bottom w:type="dxa" w:w="60"/>
              <w:right w:type="dxa" w:w="100"/>
            </w:tcMar>
          </w:tcPr>
          <w:p>
            <w:pPr>
              <w:jc w:val="both"/>
            </w:pPr>
            <w:r>
              <w:rPr>
                <w:rFonts w:ascii="Calibri" w:cs="Calibri" w:eastAsia="Calibri" w:hAnsi="Calibri"/>
                <w:sz w:val="20"/>
                <w:szCs w:val="20"/>
              </w:rPr>
              <w:t xml:space="preserve">Resultado final</w:t>
            </w:r>
          </w:p>
        </w:tc>
        <w:tc>
          <w:tcPr>
            <w:shd w:fill="F2F2F2" w:val="clear"/>
            <w:tcMar>
              <w:top w:type="dxa" w:w="60"/>
              <w:left w:type="dxa" w:w="100"/>
              <w:bottom w:type="dxa" w:w="60"/>
              <w:right w:type="dxa" w:w="100"/>
            </w:tcMar>
          </w:tcPr>
          <w:p>
            <w:pPr>
              <w:jc w:val="both"/>
            </w:pPr>
            <w:r>
              <w:rPr>
                <w:rFonts w:ascii="Calibri" w:cs="Calibri" w:eastAsia="Calibri" w:hAnsi="Calibri"/>
                <w:sz w:val="20"/>
                <w:szCs w:val="20"/>
              </w:rPr>
              <w:t xml:space="preserve">Se esperaba un ganador claro al cierre</w:t>
            </w:r>
          </w:p>
        </w:tc>
        <w:tc>
          <w:tcPr>
            <w:shd w:fill="F2F2F2" w:val="clear"/>
            <w:tcMar>
              <w:top w:type="dxa" w:w="60"/>
              <w:left w:type="dxa" w:w="100"/>
              <w:bottom w:type="dxa" w:w="60"/>
              <w:right w:type="dxa" w:w="100"/>
            </w:tcMar>
          </w:tcPr>
          <w:p>
            <w:pPr>
              <w:jc w:val="both"/>
            </w:pPr>
            <w:r>
              <w:rPr>
                <w:rFonts w:ascii="Calibri" w:cs="Calibri" w:eastAsia="Calibri" w:hAnsi="Calibri"/>
                <w:sz w:val="20"/>
                <w:szCs w:val="20"/>
              </w:rPr>
              <w:t xml:space="preserve">La dinámica terminó en empate, algo que nadie anticipó y que sorprendió a todos</w:t>
            </w:r>
          </w:p>
        </w:tc>
      </w:tr>
    </w:tbl>
    <w:p>
      <w:pPr>
        <w:spacing w:after="60"/>
      </w:pPr>
      <w:r>
        <w:t xml:space="preserve"/>
      </w:r>
    </w:p>
    <w:p>
      <w:pPr>
        <w:spacing w:after="120"/>
        <w:jc w:val="both"/>
      </w:pPr>
      <w:r>
        <w:rPr>
          <w:rFonts w:ascii="Calibri" w:cs="Calibri" w:eastAsia="Calibri" w:hAnsi="Calibri"/>
          <w:b w:val="false"/>
          <w:bCs w:val="false"/>
          <w:sz w:val="22"/>
          <w:szCs w:val="22"/>
        </w:rPr>
        <w:t xml:space="preserve">En términos generales, la dinámica fluyó bien y el ambiente fue positivo. Sin embargo, esos pequeños desvíos respecto al plan son los que más información nos dan, porque ahí es donde se muestra el comportamiento real de las personas cuando hay presión.</w:t>
      </w:r>
    </w:p>
    <w:p>
      <w:pPr>
        <w:spacing w:after="60"/>
      </w:pPr>
      <w:r>
        <w:t xml:space="preserve"/>
      </w:r>
    </w:p>
    <w:p>
      <w:pPr>
        <w:pBdr>
          <w:bottom w:val="single" w:color="1F3864" w:sz="6" w:space="1"/>
        </w:pBdr>
        <w:spacing w:after="100" w:before="300"/>
      </w:pPr>
      <w:r>
        <w:rPr>
          <w:rFonts w:ascii="Calibri" w:cs="Calibri" w:eastAsia="Calibri" w:hAnsi="Calibri"/>
          <w:b/>
          <w:bCs/>
          <w:color w:val="1F3864"/>
          <w:sz w:val="26"/>
          <w:szCs w:val="26"/>
        </w:rPr>
        <w:t xml:space="preserve">2. Fortalezas y Puntos de Mejora</w:t>
      </w:r>
    </w:p>
    <w:p>
      <w:pPr>
        <w:spacing w:after="80" w:before="200"/>
      </w:pPr>
      <w:r>
        <w:rPr>
          <w:rFonts w:ascii="Calibri" w:cs="Calibri" w:eastAsia="Calibri" w:hAnsi="Calibri"/>
          <w:b/>
          <w:bCs/>
          <w:color w:val="C55A11"/>
          <w:sz w:val="22"/>
          <w:szCs w:val="22"/>
        </w:rPr>
        <w:t xml:space="preserve">Lo que el grupo hizo bien</w:t>
      </w:r>
    </w:p>
    <w:p>
      <w:pPr>
        <w:spacing w:after="80"/>
        <w:ind w:left="431"/>
        <w:jc w:val="both"/>
      </w:pPr>
      <w:r>
        <w:rPr>
          <w:rFonts w:ascii="Calibri" w:cs="Calibri" w:eastAsia="Calibri" w:hAnsi="Calibri"/>
          <w:sz w:val="22"/>
          <w:szCs w:val="22"/>
        </w:rPr>
        <w:t xml:space="preserve">• Colaboración espontánea bajo presión: Varios compañeros decidieron juntarse en parejas para apoyarse. Nadie se los pidió — lo hicieron porque vieron que era lo más inteligente en ese momento. Eso habla de un grupo que sabe adaptarse.</w:t>
      </w:r>
    </w:p>
    <w:p>
      <w:pPr>
        <w:spacing w:after="80"/>
        <w:ind w:left="431"/>
        <w:jc w:val="both"/>
      </w:pPr>
      <w:r>
        <w:rPr>
          <w:rFonts w:ascii="Calibri" w:cs="Calibri" w:eastAsia="Calibri" w:hAnsi="Calibri"/>
          <w:sz w:val="22"/>
          <w:szCs w:val="22"/>
        </w:rPr>
        <w:t xml:space="preserve">• Buen ambiente y cohesión emocional: El avión defectuoso de Logística se convirtió en el momento más divertido de la tarde. En vez de generar vergüenza, generó risa colectiva. Eso es una señal de que el grupo tiene confianza entre sí, y eso vale mucho.</w:t>
      </w:r>
    </w:p>
    <w:p>
      <w:pPr>
        <w:spacing w:after="80"/>
        <w:ind w:left="431"/>
        <w:jc w:val="both"/>
      </w:pPr>
      <w:r>
        <w:rPr>
          <w:rFonts w:ascii="Calibri" w:cs="Calibri" w:eastAsia="Calibri" w:hAnsi="Calibri"/>
          <w:sz w:val="22"/>
          <w:szCs w:val="22"/>
        </w:rPr>
        <w:t xml:space="preserve">• Alto rendimiento en algunos equipos: Operaciones y Soporte demostraron que cuando hay claridad y enfoque, los resultados llegan solos. Soporte logró la mayor distancia de vuelo de toda la actividad, y Operaciones cerró con el puntaje más alto. Eso no fue suerte — fue trabajo bien hecho.</w:t>
      </w:r>
    </w:p>
    <w:p>
      <w:pPr>
        <w:spacing w:after="80"/>
        <w:ind w:left="431"/>
        <w:jc w:val="both"/>
      </w:pPr>
      <w:r>
        <w:rPr>
          <w:rFonts w:ascii="Calibri" w:cs="Calibri" w:eastAsia="Calibri" w:hAnsi="Calibri"/>
          <w:sz w:val="22"/>
          <w:szCs w:val="22"/>
        </w:rPr>
        <w:t xml:space="preserve">• Conciencia cívica voluntaria: Cuatro personas, sin que nadie se los pidiera, llevaron sus materiales al área de reciclaje. Un detalle pequeño que dice mucho del tipo de personas que componen este grupo.</w:t>
      </w:r>
    </w:p>
    <w:p>
      <w:pPr>
        <w:spacing w:after="60"/>
      </w:pPr>
      <w:r>
        <w:t xml:space="preserve"/>
      </w:r>
    </w:p>
    <w:p>
      <w:pPr>
        <w:spacing w:after="80" w:before="200"/>
      </w:pPr>
      <w:r>
        <w:rPr>
          <w:rFonts w:ascii="Calibri" w:cs="Calibri" w:eastAsia="Calibri" w:hAnsi="Calibri"/>
          <w:b/>
          <w:bCs/>
          <w:color w:val="C55A11"/>
          <w:sz w:val="22"/>
          <w:szCs w:val="22"/>
        </w:rPr>
        <w:t xml:space="preserve">Lo que el grupo puede mejorar</w:t>
      </w:r>
    </w:p>
    <w:p>
      <w:pPr>
        <w:spacing w:after="80"/>
        <w:ind w:left="431"/>
        <w:jc w:val="both"/>
      </w:pPr>
      <w:r>
        <w:rPr>
          <w:rFonts w:ascii="Calibri" w:cs="Calibri" w:eastAsia="Calibri" w:hAnsi="Calibri"/>
          <w:sz w:val="22"/>
          <w:szCs w:val="22"/>
        </w:rPr>
        <w:t xml:space="preserve">• Seguir instrucciones al pie de la letra: El hecho de que varios grupos no marcaran sus hojas con marcador —un paso simple y claro— indica que a veces las instrucciones se escuchan a medias. En un entorno laboral real, ese tipo de omisión puede costar caro.</w:t>
      </w:r>
    </w:p>
    <w:p>
      <w:pPr>
        <w:spacing w:after="80"/>
        <w:ind w:left="431"/>
        <w:jc w:val="both"/>
      </w:pPr>
      <w:r>
        <w:rPr>
          <w:rFonts w:ascii="Calibri" w:cs="Calibri" w:eastAsia="Calibri" w:hAnsi="Calibri"/>
          <w:sz w:val="22"/>
          <w:szCs w:val="22"/>
        </w:rPr>
        <w:t xml:space="preserve">• Participación pareja de todos los integrantes: Hubo personas que observaron más que actuaron. Si bien no hay un solo modo correcto de aportar, en una dinámica de team building la participación activa es parte del ejercicio. Cuando alguien se desconecta, el equipo lo siente.</w:t>
      </w:r>
    </w:p>
    <w:p>
      <w:pPr>
        <w:spacing w:after="80"/>
        <w:ind w:left="431"/>
        <w:jc w:val="both"/>
      </w:pPr>
      <w:r>
        <w:rPr>
          <w:rFonts w:ascii="Calibri" w:cs="Calibri" w:eastAsia="Calibri" w:hAnsi="Calibri"/>
          <w:sz w:val="22"/>
          <w:szCs w:val="22"/>
        </w:rPr>
        <w:t xml:space="preserve">• Puntualidad como valor colectivo, no individual: El hecho de que algunos equipos mejoraran sus aviones mientras otro departamento estaba en su turno de lanzamiento dice algo importante: la puntualidad todavía se vive como una responsabilidad personal, no como un compromiso compartido con el grupo.</w:t>
      </w:r>
    </w:p>
    <w:p>
      <w:pPr>
        <w:spacing w:after="80"/>
        <w:ind w:left="431"/>
        <w:jc w:val="both"/>
      </w:pPr>
      <w:r>
        <w:rPr>
          <w:rFonts w:ascii="Calibri" w:cs="Calibri" w:eastAsia="Calibri" w:hAnsi="Calibri"/>
          <w:sz w:val="22"/>
          <w:szCs w:val="22"/>
        </w:rPr>
        <w:t xml:space="preserve">• Brecha de desempeño entre departamentos: La diferencia entre 3 puntos y 12 puntos en el mismo ejercicio, con los mismos materiales y el mismo tiempo, muestra que no todos llegaron con el mismo nivel de compromiso. Eso no es un problema de capacidad — es un problema de motivación y enfoque.</w:t>
      </w:r>
    </w:p>
    <w:p>
      <w:pPr>
        <w:spacing w:after="60"/>
      </w:pPr>
      <w:r>
        <w:t xml:space="preserve"/>
      </w:r>
    </w:p>
    <w:p>
      <w:pPr>
        <w:pBdr>
          <w:bottom w:val="single" w:color="1F3864" w:sz="6" w:space="1"/>
        </w:pBdr>
        <w:spacing w:after="100" w:before="300"/>
      </w:pPr>
      <w:r>
        <w:rPr>
          <w:rFonts w:ascii="Calibri" w:cs="Calibri" w:eastAsia="Calibri" w:hAnsi="Calibri"/>
          <w:b/>
          <w:bCs/>
          <w:color w:val="1F3864"/>
          <w:sz w:val="26"/>
          <w:szCs w:val="26"/>
        </w:rPr>
        <w:t xml:space="preserve">3. Recomendaciones Profesionales</w:t>
      </w:r>
    </w:p>
    <w:p>
      <w:pPr>
        <w:spacing w:after="120"/>
        <w:jc w:val="both"/>
      </w:pPr>
      <w:r>
        <w:rPr>
          <w:rFonts w:ascii="Calibri" w:cs="Calibri" w:eastAsia="Calibri" w:hAnsi="Calibri"/>
          <w:b w:val="false"/>
          <w:bCs w:val="false"/>
          <w:sz w:val="22"/>
          <w:szCs w:val="22"/>
        </w:rPr>
        <w:t xml:space="preserve">Con base en lo observado durante la dinámica y apoyándonos en teorías del Comportamiento Organizacional, el equipo de Control de Calidad propone las siguientes recomendaciones:</w:t>
      </w:r>
    </w:p>
    <w:p>
      <w:pPr>
        <w:spacing w:after="60"/>
      </w:pPr>
      <w:r>
        <w:t xml:space="preserve"/>
      </w:r>
    </w:p>
    <w:p>
      <w:pPr>
        <w:spacing w:after="80" w:before="200"/>
      </w:pPr>
      <w:r>
        <w:rPr>
          <w:rFonts w:ascii="Calibri" w:cs="Calibri" w:eastAsia="Calibri" w:hAnsi="Calibri"/>
          <w:b/>
          <w:bCs/>
          <w:color w:val="C55A11"/>
          <w:sz w:val="22"/>
          <w:szCs w:val="22"/>
        </w:rPr>
        <w:t xml:space="preserve">1. Chequeo de comprensión antes de arrancar (Locke &amp; Latham — Establecimiento de Metas)</w:t>
      </w:r>
    </w:p>
    <w:p>
      <w:pPr>
        <w:spacing w:after="120"/>
        <w:jc w:val="both"/>
      </w:pPr>
      <w:r>
        <w:rPr>
          <w:rFonts w:ascii="Calibri" w:cs="Calibri" w:eastAsia="Calibri" w:hAnsi="Calibri"/>
          <w:b w:val="false"/>
          <w:bCs w:val="false"/>
          <w:sz w:val="22"/>
          <w:szCs w:val="22"/>
        </w:rPr>
        <w:t xml:space="preserve">Cuando los equipos no siguen instrucciones básicas, muchas veces no es mala intención — es que no quedaron completamente claras desde el inicio. Recomendamos incorporar un momento de verificación antes de cada actividad: una pregunta corta al grupo ('¿Todos entienden los pasos?') puede evitar errores que después cuestan tiempo y puntos. En el mundo laboral, esto equivale a confirmar el brief antes de ejecutar.</w:t>
      </w:r>
    </w:p>
    <w:p>
      <w:pPr>
        <w:spacing w:after="60"/>
      </w:pPr>
      <w:r>
        <w:t xml:space="preserve"/>
      </w:r>
    </w:p>
    <w:p>
      <w:pPr>
        <w:spacing w:after="80" w:before="200"/>
      </w:pPr>
      <w:r>
        <w:rPr>
          <w:rFonts w:ascii="Calibri" w:cs="Calibri" w:eastAsia="Calibri" w:hAnsi="Calibri"/>
          <w:b/>
          <w:bCs/>
          <w:color w:val="C55A11"/>
          <w:sz w:val="22"/>
          <w:szCs w:val="22"/>
        </w:rPr>
        <w:t xml:space="preserve">2. Roles definidos dentro de cada equipo (Modelo de Roles de Belbin)</w:t>
      </w:r>
    </w:p>
    <w:p>
      <w:pPr>
        <w:spacing w:after="120"/>
        <w:jc w:val="both"/>
      </w:pPr>
      <w:r>
        <w:rPr>
          <w:rFonts w:ascii="Calibri" w:cs="Calibri" w:eastAsia="Calibri" w:hAnsi="Calibri"/>
          <w:b w:val="false"/>
          <w:bCs w:val="false"/>
          <w:sz w:val="22"/>
          <w:szCs w:val="22"/>
        </w:rPr>
        <w:t xml:space="preserve">La pasividad de algunos participantes se puede prevenir si desde el inicio cada persona sabe exactamente qué le toca hacer. Un constructor, un verificador, un lanzador. La ausencia de estructura siempre invita a la inactividad. Belbin demostró que los equipos de alto desempeño no necesitan a todos haciendo lo mismo — necesitan a cada quien ocupando un rol claro y complementario.</w:t>
      </w:r>
    </w:p>
    <w:p>
      <w:pPr>
        <w:spacing w:after="60"/>
      </w:pPr>
      <w:r>
        <w:t xml:space="preserve"/>
      </w:r>
    </w:p>
    <w:p>
      <w:pPr>
        <w:spacing w:after="80" w:before="200"/>
      </w:pPr>
      <w:r>
        <w:rPr>
          <w:rFonts w:ascii="Calibri" w:cs="Calibri" w:eastAsia="Calibri" w:hAnsi="Calibri"/>
          <w:b/>
          <w:bCs/>
          <w:color w:val="C55A11"/>
          <w:sz w:val="22"/>
          <w:szCs w:val="22"/>
        </w:rPr>
        <w:t xml:space="preserve">3. Establecer normas de respeto al tiempo como acuerdo grupal (Tuckman — Etapas de Desarrollo Grupal)</w:t>
      </w:r>
    </w:p>
    <w:p>
      <w:pPr>
        <w:spacing w:after="120"/>
        <w:jc w:val="both"/>
      </w:pPr>
      <w:r>
        <w:rPr>
          <w:rFonts w:ascii="Calibri" w:cs="Calibri" w:eastAsia="Calibri" w:hAnsi="Calibri"/>
          <w:b w:val="false"/>
          <w:bCs w:val="false"/>
          <w:sz w:val="22"/>
          <w:szCs w:val="22"/>
        </w:rPr>
        <w:t xml:space="preserve">El hecho de que algunos aprovecharan el tiempo ajeno para mejorar sus propios productos sugiere que el grupo aún está construyendo sus normas colectivas. Según Tuckman, los equipos pasan por etapas: forming, storming, norming, performing. Para avanzar hacia el alto rendimiento, es necesario que las reglas del juego sean un acuerdo de todos, no una imposición de arriba. Una solución práctica: que cada equipo firme un 'contrato de inicio' antes de cada dinámica.</w:t>
      </w:r>
    </w:p>
    <w:p>
      <w:pPr>
        <w:spacing w:after="60"/>
      </w:pPr>
      <w:r>
        <w:t xml:space="preserve"/>
      </w:r>
    </w:p>
    <w:p>
      <w:pPr>
        <w:spacing w:after="80" w:before="200"/>
      </w:pPr>
      <w:r>
        <w:rPr>
          <w:rFonts w:ascii="Calibri" w:cs="Calibri" w:eastAsia="Calibri" w:hAnsi="Calibri"/>
          <w:b/>
          <w:bCs/>
          <w:color w:val="C55A11"/>
          <w:sz w:val="22"/>
          <w:szCs w:val="22"/>
        </w:rPr>
        <w:t xml:space="preserve">4. Reconocer el esfuerzo relativo, no solo el resultado final (Liderazgo Situacional — Hersey &amp; Blanchard)</w:t>
      </w:r>
    </w:p>
    <w:p>
      <w:pPr>
        <w:spacing w:after="120"/>
        <w:jc w:val="both"/>
      </w:pPr>
      <w:r>
        <w:rPr>
          <w:rFonts w:ascii="Calibri" w:cs="Calibri" w:eastAsia="Calibri" w:hAnsi="Calibri"/>
          <w:b w:val="false"/>
          <w:bCs w:val="false"/>
          <w:sz w:val="22"/>
          <w:szCs w:val="22"/>
        </w:rPr>
        <w:t xml:space="preserve">La brecha de puntaje entre departamentos no refleja necesariamente quién trabajó más duro — refleja quién llegó más preparado. Un enfoque de liderazgo situacional reconoce que no todos los equipos parten desde el mismo punto, y que el crecimiento relativo también merece reconocimiento. Esto reduce la desmotivación y mantiene el compromiso de quienes sienten que 'no pueden competir'.</w:t>
      </w:r>
    </w:p>
    <w:p>
      <w:pPr>
        <w:spacing w:after="60"/>
      </w:pPr>
      <w:r>
        <w:t xml:space="preserve"/>
      </w:r>
    </w:p>
    <w:p>
      <w:pPr>
        <w:pBdr>
          <w:bottom w:val="single" w:color="1F3864" w:sz="6" w:space="1"/>
        </w:pBdr>
        <w:spacing w:after="100" w:before="300"/>
      </w:pPr>
      <w:r>
        <w:rPr>
          <w:rFonts w:ascii="Calibri" w:cs="Calibri" w:eastAsia="Calibri" w:hAnsi="Calibri"/>
          <w:b/>
          <w:bCs/>
          <w:color w:val="1F3864"/>
          <w:sz w:val="26"/>
          <w:szCs w:val="26"/>
        </w:rPr>
        <w:t xml:space="preserve">4. Conclusión</w:t>
      </w:r>
    </w:p>
    <w:p>
      <w:pPr>
        <w:spacing w:after="60"/>
      </w:pPr>
      <w:r>
        <w:t xml:space="preserve"/>
      </w:r>
    </w:p>
    <w:p>
      <w:pPr>
        <w:spacing w:after="120"/>
        <w:jc w:val="both"/>
      </w:pPr>
      <w:r>
        <w:rPr>
          <w:rFonts w:ascii="Calibri" w:cs="Calibri" w:eastAsia="Calibri" w:hAnsi="Calibri"/>
          <w:b w:val="false"/>
          <w:bCs w:val="false"/>
          <w:sz w:val="22"/>
          <w:szCs w:val="22"/>
        </w:rPr>
        <w:t xml:space="preserve">Esta dinámica nos dejó una imagen bastante honesta del grupo: hay energía, hay personas con alto rendimiento, hay cohesión emocional y hay quienes genuinamente se preocupan por hacer bien las cosas. Eso es una base sólida.</w:t>
      </w:r>
    </w:p>
    <w:p>
      <w:pPr>
        <w:spacing w:after="120"/>
        <w:jc w:val="both"/>
      </w:pPr>
      <w:r>
        <w:rPr>
          <w:rFonts w:ascii="Calibri" w:cs="Calibri" w:eastAsia="Calibri" w:hAnsi="Calibri"/>
          <w:b w:val="false"/>
          <w:bCs w:val="false"/>
          <w:sz w:val="22"/>
          <w:szCs w:val="22"/>
        </w:rPr>
        <w:t xml:space="preserve">Pero también vimos que la eficiencia y la puntualidad todavía no son valores completamente interiorizados de manera colectiva. Algunos equipos los viven, otros los conocen de nombre. Y esa brecha es exactamente lo que vale la pena trabajar.</w:t>
      </w:r>
    </w:p>
    <w:p>
      <w:pPr>
        <w:spacing w:after="120"/>
        <w:jc w:val="both"/>
      </w:pPr>
      <w:r>
        <w:rPr>
          <w:rFonts w:ascii="Calibri" w:cs="Calibri" w:eastAsia="Calibri" w:hAnsi="Calibri"/>
          <w:b w:val="false"/>
          <w:bCs w:val="false"/>
          <w:sz w:val="22"/>
          <w:szCs w:val="22"/>
        </w:rPr>
        <w:t xml:space="preserve">La eficiencia no es solo ser rápido. Es hacer lo correcto, con los recursos correctos, en el momento correcto — sin que alguien tenga que estar recordándotelo. Eso es lo que esta actividad puso a prueba, y es lo que como clase podemos seguir desarrollando juntos.</w:t>
      </w:r>
    </w:p>
    <w:p>
      <w:pPr>
        <w:spacing w:after="60"/>
      </w:pPr>
      <w:r>
        <w:t xml:space="preserve"/>
      </w:r>
    </w:p>
    <w:p>
      <w:pPr>
        <w:spacing w:after="60"/>
      </w:pPr>
      <w:r>
        <w:t xml:space="preserve"/>
      </w:r>
    </w:p>
    <w:p>
      <w:pPr>
        <w:spacing w:before="300"/>
        <w:jc w:val="center"/>
      </w:pPr>
      <w:r>
        <w:rPr>
          <w:rFonts w:ascii="Calibri" w:cs="Calibri" w:eastAsia="Calibri" w:hAnsi="Calibri"/>
          <w:color w:val="888888"/>
          <w:sz w:val="18"/>
          <w:szCs w:val="18"/>
        </w:rPr>
        <w:t xml:space="preserve">Nota: Adjuntar Tabla de Co-evaluación con calificaciones individuales (Compromiso, Iniciativa, Apoyo, Calidad — escala 1 a 5) según lo solicitado en la consigna.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2026-04-10T22:58:29.565Z</dcterms:created>
  <dcterms:modified xsi:type="dcterms:W3CDTF">2026-04-10T22:58:29.565Z</dcterms:modified>
</cp:coreProperties>
</file>

<file path=docProps/custom.xml><?xml version="1.0" encoding="utf-8"?>
<Properties xmlns="http://schemas.openxmlformats.org/officeDocument/2006/custom-properties" xmlns:vt="http://schemas.openxmlformats.org/officeDocument/2006/docPropsVTypes"/>
</file>