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rchitecture-decision-records-adr"/>
    <w:p>
      <w:pPr>
        <w:pStyle w:val="Heading1"/>
      </w:pPr>
      <w:r>
        <w:t xml:space="preserve">Architecture Decision Records (ADR)</w:t>
      </w:r>
    </w:p>
    <w:p>
      <w:pPr>
        <w:pStyle w:val="FirstParagraph"/>
      </w:pPr>
      <w:r>
        <w:t xml:space="preserve">Este documento registra decisões arquiteturais importantes do sistema SaaS de lembretes via WhatsApp. Cada decisão inclui contexto, alternativas consideradas e justificativa.</w:t>
      </w:r>
    </w:p>
    <w:p>
      <w:r>
        <w:pict>
          <v:rect style="width:0;height:1.5pt" o:hralign="center" o:hrstd="t" o:hr="t"/>
        </w:pict>
      </w:r>
    </w:p>
    <w:bookmarkStart w:id="24" w:name="adr-001-linguagem-e-framework-principal"/>
    <w:p>
      <w:pPr>
        <w:pStyle w:val="Heading2"/>
      </w:pPr>
      <w:r>
        <w:t xml:space="preserve">ADR-001 – Linguagem e Framework Principal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2026-03-31</w:t>
      </w:r>
    </w:p>
    <w:bookmarkStart w:id="20" w:name="contexto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O sistema foi inicialmente iniciado em Node.js com Express, porém existe a necessidade de maior robustez, tipagem forte e familiaridade com o ecossistema Java.</w:t>
      </w:r>
    </w:p>
    <w:bookmarkEnd w:id="20"/>
    <w:bookmarkStart w:id="21" w:name="decisão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Adotar Java com Spring Boot como framework principal para a API central do sistema.</w:t>
      </w:r>
    </w:p>
    <w:bookmarkEnd w:id="21"/>
    <w:bookmarkStart w:id="22" w:name="alternativas-consideradas"/>
    <w:p>
      <w:pPr>
        <w:pStyle w:val="Heading3"/>
      </w:pPr>
      <w:r>
        <w:t xml:space="preserve">Alternativas consideradas</w:t>
      </w:r>
    </w:p>
    <w:p>
      <w:pPr>
        <w:pStyle w:val="Compact"/>
        <w:numPr>
          <w:ilvl w:val="0"/>
          <w:numId w:val="1001"/>
        </w:numPr>
      </w:pPr>
      <w:r>
        <w:t xml:space="preserve">Manter Node.js com Express</w:t>
      </w:r>
    </w:p>
    <w:p>
      <w:pPr>
        <w:pStyle w:val="Compact"/>
        <w:numPr>
          <w:ilvl w:val="0"/>
          <w:numId w:val="1001"/>
        </w:numPr>
      </w:pPr>
      <w:r>
        <w:t xml:space="preserve">Migrar para NestJS</w:t>
      </w:r>
    </w:p>
    <w:p>
      <w:pPr>
        <w:pStyle w:val="Compact"/>
        <w:numPr>
          <w:ilvl w:val="0"/>
          <w:numId w:val="1001"/>
        </w:numPr>
      </w:pPr>
      <w:r>
        <w:t xml:space="preserve">Migrar para Java com Spring Boot</w:t>
      </w:r>
    </w:p>
    <w:bookmarkEnd w:id="22"/>
    <w:bookmarkStart w:id="23" w:name="consequências"/>
    <w:p>
      <w:pPr>
        <w:pStyle w:val="Heading3"/>
      </w:pPr>
      <w:r>
        <w:t xml:space="preserve">Consequências</w:t>
      </w:r>
    </w:p>
    <w:p>
      <w:pPr>
        <w:pStyle w:val="Compact"/>
        <w:numPr>
          <w:ilvl w:val="0"/>
          <w:numId w:val="1002"/>
        </w:numPr>
      </w:pPr>
      <w:r>
        <w:t xml:space="preserve">Melhor suporte a arquitetura em camadas</w:t>
      </w:r>
    </w:p>
    <w:p>
      <w:pPr>
        <w:pStyle w:val="Compact"/>
        <w:numPr>
          <w:ilvl w:val="0"/>
          <w:numId w:val="1002"/>
        </w:numPr>
      </w:pPr>
      <w:r>
        <w:t xml:space="preserve">Forte tipagem e maior segurança em refatorações</w:t>
      </w:r>
    </w:p>
    <w:p>
      <w:pPr>
        <w:pStyle w:val="Compact"/>
        <w:numPr>
          <w:ilvl w:val="0"/>
          <w:numId w:val="1002"/>
        </w:numPr>
      </w:pPr>
      <w:r>
        <w:t xml:space="preserve">Maior consumo de memória em comparação ao Node.js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dr-002-gateway-de-mensageria-em-node.js"/>
    <w:p>
      <w:pPr>
        <w:pStyle w:val="Heading2"/>
      </w:pPr>
      <w:r>
        <w:t xml:space="preserve">ADR-002 – Gateway de Mensageria em Node.js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2026-03-31</w:t>
      </w:r>
    </w:p>
    <w:bookmarkStart w:id="25" w:name="contexto-1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A biblioteca whatsapp-web.js é baseada em Node.js e não possui equivalente direto em Java.</w:t>
      </w:r>
    </w:p>
    <w:bookmarkEnd w:id="25"/>
    <w:bookmarkStart w:id="26" w:name="decisão-1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Manter um serviço isolado em Node.js responsável exclusivamente pela comunicação com o WhatsApp Web.</w:t>
      </w:r>
    </w:p>
    <w:bookmarkEnd w:id="26"/>
    <w:bookmarkStart w:id="27" w:name="consequências-1"/>
    <w:p>
      <w:pPr>
        <w:pStyle w:val="Heading3"/>
      </w:pPr>
      <w:r>
        <w:t xml:space="preserve">Consequências</w:t>
      </w:r>
    </w:p>
    <w:p>
      <w:pPr>
        <w:pStyle w:val="Compact"/>
        <w:numPr>
          <w:ilvl w:val="0"/>
          <w:numId w:val="1003"/>
        </w:numPr>
      </w:pPr>
      <w:r>
        <w:t xml:space="preserve">Arquitetura baseada em microserviços</w:t>
      </w:r>
    </w:p>
    <w:p>
      <w:pPr>
        <w:pStyle w:val="Compact"/>
        <w:numPr>
          <w:ilvl w:val="0"/>
          <w:numId w:val="1003"/>
        </w:numPr>
      </w:pPr>
      <w:r>
        <w:t xml:space="preserve">Comunicação via REST entre Spring e Node</w:t>
      </w:r>
    </w:p>
    <w:p>
      <w:pPr>
        <w:pStyle w:val="Compact"/>
        <w:numPr>
          <w:ilvl w:val="0"/>
          <w:numId w:val="1003"/>
        </w:numPr>
      </w:pPr>
      <w:r>
        <w:t xml:space="preserve">Facilidade de futura substituição pela API oficial da Meta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dr-003-arquitetura-multi-tenant"/>
    <w:p>
      <w:pPr>
        <w:pStyle w:val="Heading2"/>
      </w:pPr>
      <w:r>
        <w:t xml:space="preserve">ADR-003 – Arquitetura Multi-tenant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2026-03-31</w:t>
      </w:r>
    </w:p>
    <w:bookmarkStart w:id="29" w:name="contexto-2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O sistema será oferecido como SaaS para múltiplas clínicas e profissionais.</w:t>
      </w:r>
    </w:p>
    <w:bookmarkEnd w:id="29"/>
    <w:bookmarkStart w:id="30" w:name="decisão-2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Implementar isolamento lógico por empresa utilizando um identificador de tenant em todas as entidades do banco de dados.</w:t>
      </w:r>
    </w:p>
    <w:bookmarkEnd w:id="30"/>
    <w:bookmarkStart w:id="31" w:name="consequências-2"/>
    <w:p>
      <w:pPr>
        <w:pStyle w:val="Heading3"/>
      </w:pPr>
      <w:r>
        <w:t xml:space="preserve">Consequências</w:t>
      </w:r>
    </w:p>
    <w:p>
      <w:pPr>
        <w:pStyle w:val="Compact"/>
        <w:numPr>
          <w:ilvl w:val="0"/>
          <w:numId w:val="1004"/>
        </w:numPr>
      </w:pPr>
      <w:r>
        <w:t xml:space="preserve">Simplificação da infraestrutura</w:t>
      </w:r>
    </w:p>
    <w:p>
      <w:pPr>
        <w:pStyle w:val="Compact"/>
        <w:numPr>
          <w:ilvl w:val="0"/>
          <w:numId w:val="1004"/>
        </w:numPr>
      </w:pPr>
      <w:r>
        <w:t xml:space="preserve">Necessidade de validação de tenant em todas as queries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4dcf19672adf3f3b96d89eebb9a337e0cc365ff"/>
    <w:p>
      <w:pPr>
        <w:pStyle w:val="Heading2"/>
      </w:pPr>
      <w:r>
        <w:t xml:space="preserve">ADR-004 – Uso de Filas para Envio de Mensagens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2026-03-31</w:t>
      </w:r>
    </w:p>
    <w:bookmarkStart w:id="33" w:name="contexto-3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O envio de mensagens via WhatsApp pode sofrer atrasos ou falhas e não deve bloquear requisições HTTP.</w:t>
      </w:r>
    </w:p>
    <w:bookmarkEnd w:id="33"/>
    <w:bookmarkStart w:id="34" w:name="decisão-3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Utilizar Redis como fila de processamento assíncrono para envio de mensagens agendadas.</w:t>
      </w:r>
    </w:p>
    <w:bookmarkEnd w:id="34"/>
    <w:bookmarkStart w:id="35" w:name="consequências-3"/>
    <w:p>
      <w:pPr>
        <w:pStyle w:val="Heading3"/>
      </w:pPr>
      <w:r>
        <w:t xml:space="preserve">Consequências</w:t>
      </w:r>
    </w:p>
    <w:p>
      <w:pPr>
        <w:pStyle w:val="Compact"/>
        <w:numPr>
          <w:ilvl w:val="0"/>
          <w:numId w:val="1005"/>
        </w:numPr>
      </w:pPr>
      <w:r>
        <w:t xml:space="preserve">Maior resiliência do sistema</w:t>
      </w:r>
    </w:p>
    <w:p>
      <w:pPr>
        <w:pStyle w:val="Compact"/>
        <w:numPr>
          <w:ilvl w:val="0"/>
          <w:numId w:val="1005"/>
        </w:numPr>
      </w:pPr>
      <w:r>
        <w:t xml:space="preserve">Complexidade adicional na infraestrutura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43bb1328c1df71e91263b5f554386ac524e434a"/>
    <w:p>
      <w:pPr>
        <w:pStyle w:val="Heading2"/>
      </w:pPr>
      <w:r>
        <w:t xml:space="preserve">ADR-005 – Estratégia de Migração Gradual Node → Spring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2026-03-31</w:t>
      </w:r>
    </w:p>
    <w:bookmarkStart w:id="37" w:name="contexto-4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Parte do sistema já está implementada em Node.js e não pode ser descartada imediatamente.</w:t>
      </w:r>
    </w:p>
    <w:bookmarkEnd w:id="37"/>
    <w:bookmarkStart w:id="38" w:name="decisão-4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Adotar uma estratégia de migração incremental, mantendo o sistema Node em produção enquanto novos módulos são desenvolvidos em Spring Boot.</w:t>
      </w:r>
    </w:p>
    <w:bookmarkEnd w:id="38"/>
    <w:bookmarkStart w:id="39" w:name="consequências-4"/>
    <w:p>
      <w:pPr>
        <w:pStyle w:val="Heading3"/>
      </w:pPr>
      <w:r>
        <w:t xml:space="preserve">Consequências</w:t>
      </w:r>
    </w:p>
    <w:p>
      <w:pPr>
        <w:pStyle w:val="Compact"/>
        <w:numPr>
          <w:ilvl w:val="0"/>
          <w:numId w:val="1006"/>
        </w:numPr>
      </w:pPr>
      <w:r>
        <w:t xml:space="preserve">Necessidade de manter dois ambientes de runtime temporariamente</w:t>
      </w:r>
    </w:p>
    <w:p>
      <w:pPr>
        <w:pStyle w:val="Compact"/>
        <w:numPr>
          <w:ilvl w:val="0"/>
          <w:numId w:val="1006"/>
        </w:numPr>
      </w:pPr>
      <w:r>
        <w:t xml:space="preserve">Redução de risco durante a transição tecnológica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o-adicionar-novos-adrs"/>
    <w:p>
      <w:pPr>
        <w:pStyle w:val="Heading2"/>
      </w:pPr>
      <w:r>
        <w:t xml:space="preserve">Como adicionar novos ADRs</w:t>
      </w:r>
    </w:p>
    <w:p>
      <w:pPr>
        <w:pStyle w:val="FirstParagraph"/>
      </w:pPr>
      <w:r>
        <w:t xml:space="preserve">Para cada nova decisão:</w:t>
      </w:r>
    </w:p>
    <w:p>
      <w:pPr>
        <w:pStyle w:val="Compact"/>
        <w:numPr>
          <w:ilvl w:val="0"/>
          <w:numId w:val="1007"/>
        </w:numPr>
      </w:pPr>
      <w:r>
        <w:t xml:space="preserve">Copiar o template abaixo</w:t>
      </w:r>
    </w:p>
    <w:p>
      <w:pPr>
        <w:pStyle w:val="Compact"/>
        <w:numPr>
          <w:ilvl w:val="0"/>
          <w:numId w:val="1007"/>
        </w:numPr>
      </w:pPr>
      <w:r>
        <w:t xml:space="preserve">Incrementar o número sequencial</w:t>
      </w:r>
    </w:p>
    <w:p>
      <w:pPr>
        <w:pStyle w:val="SourceCode"/>
      </w:pPr>
      <w:r>
        <w:rPr>
          <w:rStyle w:val="VerbatimChar"/>
        </w:rPr>
        <w:t xml:space="preserve">## ADR-00X – Título da decisão</w:t>
      </w:r>
      <w:r>
        <w:br/>
      </w:r>
      <w:r>
        <w:br/>
      </w:r>
      <w:r>
        <w:rPr>
          <w:rStyle w:val="VerbatimChar"/>
        </w:rPr>
        <w:t xml:space="preserve">**Status:** Proposto | Aceito | Rejeitado  </w:t>
      </w:r>
      <w:r>
        <w:br/>
      </w:r>
      <w:r>
        <w:rPr>
          <w:rStyle w:val="VerbatimChar"/>
        </w:rPr>
        <w:t xml:space="preserve">**Data:** YYYY-MM-DD</w:t>
      </w:r>
      <w:r>
        <w:br/>
      </w:r>
      <w:r>
        <w:br/>
      </w:r>
      <w:r>
        <w:rPr>
          <w:rStyle w:val="VerbatimChar"/>
        </w:rPr>
        <w:t xml:space="preserve">### Contexto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### Decisão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### Alternativas consideradas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### Consequências</w:t>
      </w:r>
      <w:r>
        <w:br/>
      </w:r>
      <w:r>
        <w:rPr>
          <w:rStyle w:val="VerbatimChar"/>
        </w:rPr>
        <w:t xml:space="preserve">...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2026-04-01T01:04:41Z</dcterms:created>
  <dcterms:modified xsi:type="dcterms:W3CDTF">2026-04-01T01:04:41Z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