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B1752" w14:textId="77777777" w:rsidR="00BE2211" w:rsidRDefault="00000000">
      <w:pPr>
        <w:spacing w:after="0"/>
      </w:pPr>
      <w:r>
        <w:rPr>
          <w:b/>
          <w:sz w:val="28"/>
        </w:rPr>
        <w:t>Predictive Model and What-If Analysis</w:t>
      </w:r>
    </w:p>
    <w:p w14:paraId="0D6A62FC" w14:textId="76D3EB7C" w:rsidR="00BE2211" w:rsidRDefault="00000000">
      <w:pPr>
        <w:spacing w:after="80"/>
      </w:pPr>
      <w:r>
        <w:t>Football Recruitment Decision-Support Tool</w:t>
      </w:r>
    </w:p>
    <w:p w14:paraId="456407E2" w14:textId="77777777" w:rsidR="00BE2211" w:rsidRDefault="00000000">
      <w:pPr>
        <w:keepNext/>
        <w:spacing w:before="100" w:after="40"/>
      </w:pPr>
      <w:r>
        <w:rPr>
          <w:b/>
          <w:sz w:val="24"/>
        </w:rPr>
        <w:t>1. The need a predictive model can address</w:t>
      </w:r>
    </w:p>
    <w:p w14:paraId="298F34A2" w14:textId="77777777" w:rsidR="00BE2211" w:rsidRDefault="00000000">
      <w:r>
        <w:t>The Head of Recruitment has three needs: tactical fit, fair value and performance risk. Fair value is the one a forecast answers best. A fee is paid today, but whether it was a good fee is judged over the next 12 to 24 months, so the real question behind every bid is what the player will be worth at the next valuation, and how sure that is. In Week 6 this was a fixed formula with a fixed range of plus or minus 12.5%. It is now a model that predicts each player's market value at the next yearly valuation. Tactical fit (TSS) stays a descriptive score because it measures the present. The performance forecast (RAPF) stays rule-based for now: only two statistics are available and passes per 90 correlate only about 0.5 from one season to the next, so a performance model is the next step.</w:t>
      </w:r>
    </w:p>
    <w:p w14:paraId="75E2E1EC" w14:textId="77777777" w:rsidR="00BE2211" w:rsidRDefault="00000000">
      <w:pPr>
        <w:keepNext/>
        <w:spacing w:before="100" w:after="40"/>
      </w:pPr>
      <w:r>
        <w:rPr>
          <w:b/>
          <w:sz w:val="24"/>
        </w:rPr>
        <w:t>2. Modelling approach and justification</w:t>
      </w:r>
    </w:p>
    <w:p w14:paraId="1C0207FB" w14:textId="77777777" w:rsidR="00BE2211" w:rsidRDefault="00000000">
      <w:r>
        <w:t>The model is a linear regression on the log scale: log(next value / value now) = age curve + momentum. The age curve has one point per year of age, joined by straight lines. Momentum is last year's change in value; part of it reverses. I chose this approach for four reasons. (1) Market values are right-skewed and errors are proportional, which the log scale handles while keeping forecasts positive. (2) The effect of age is strongly non-linear, and a straight line or a quadratic misses it. (3) There are only 547 player-years, so a small and transparent model is safer than a flexible one, and the user can read the age curve directly. (4) A regression gives prediction intervals from its own error, so every forecast comes with its uncertainty.</w:t>
      </w:r>
    </w:p>
    <w:p w14:paraId="14F8FBBB" w14:textId="77777777" w:rsidR="00BE2211" w:rsidRDefault="00000000">
      <w:pPr>
        <w:spacing w:after="80"/>
      </w:pPr>
      <w:r>
        <w:t>The choice was made on evidence. Eleven candidates were compared by cross-validation on the 2023 and 2024 forecasts, split by player. Performance statistics and position did not improve accuracy and were left out. The chosen model was then tested once on forecasts it had never seen (June 2025 to January 2026). No setting was tuned on that test.</w:t>
      </w:r>
    </w:p>
    <w:tbl>
      <w:tblPr>
        <w:tblStyle w:val="TableGrid"/>
        <w:tblW w:w="0" w:type="auto"/>
        <w:jc w:val="center"/>
        <w:tblLook w:val="04A0" w:firstRow="1" w:lastRow="0" w:firstColumn="1" w:lastColumn="0" w:noHBand="0" w:noVBand="1"/>
      </w:tblPr>
      <w:tblGrid>
        <w:gridCol w:w="4320"/>
        <w:gridCol w:w="3312"/>
        <w:gridCol w:w="2448"/>
      </w:tblGrid>
      <w:tr w:rsidR="00BE2211" w14:paraId="1668B49A" w14:textId="77777777">
        <w:trPr>
          <w:jc w:val="center"/>
        </w:trPr>
        <w:tc>
          <w:tcPr>
            <w:tcW w:w="4320" w:type="dxa"/>
            <w:tcMar>
              <w:top w:w="15" w:type="dxa"/>
              <w:bottom w:w="15" w:type="dxa"/>
            </w:tcMar>
          </w:tcPr>
          <w:p w14:paraId="2EDDFCB7" w14:textId="77777777" w:rsidR="00BE2211" w:rsidRDefault="00000000">
            <w:pPr>
              <w:spacing w:after="0"/>
            </w:pPr>
            <w:r>
              <w:rPr>
                <w:b/>
                <w:sz w:val="20"/>
              </w:rPr>
              <w:t>Model</w:t>
            </w:r>
          </w:p>
        </w:tc>
        <w:tc>
          <w:tcPr>
            <w:tcW w:w="3312" w:type="dxa"/>
            <w:tcMar>
              <w:top w:w="15" w:type="dxa"/>
              <w:bottom w:w="15" w:type="dxa"/>
            </w:tcMar>
          </w:tcPr>
          <w:p w14:paraId="1534D2C6" w14:textId="77777777" w:rsidR="00BE2211" w:rsidRDefault="00000000">
            <w:pPr>
              <w:spacing w:after="0"/>
              <w:jc w:val="center"/>
            </w:pPr>
            <w:r>
              <w:rPr>
                <w:b/>
                <w:sz w:val="20"/>
              </w:rPr>
              <w:t>Cross-validation error (RMSE, log scale)</w:t>
            </w:r>
          </w:p>
        </w:tc>
        <w:tc>
          <w:tcPr>
            <w:tcW w:w="2448" w:type="dxa"/>
            <w:tcMar>
              <w:top w:w="15" w:type="dxa"/>
              <w:bottom w:w="15" w:type="dxa"/>
            </w:tcMar>
          </w:tcPr>
          <w:p w14:paraId="2686A4B0" w14:textId="77777777" w:rsidR="00BE2211" w:rsidRDefault="00000000">
            <w:pPr>
              <w:spacing w:after="0"/>
              <w:jc w:val="center"/>
            </w:pPr>
            <w:r>
              <w:rPr>
                <w:b/>
                <w:sz w:val="20"/>
              </w:rPr>
              <w:t>Typical error in the unseen test</w:t>
            </w:r>
          </w:p>
        </w:tc>
      </w:tr>
      <w:tr w:rsidR="00BE2211" w14:paraId="27F4B32F" w14:textId="77777777">
        <w:trPr>
          <w:jc w:val="center"/>
        </w:trPr>
        <w:tc>
          <w:tcPr>
            <w:tcW w:w="4320" w:type="dxa"/>
            <w:tcMar>
              <w:top w:w="15" w:type="dxa"/>
              <w:bottom w:w="15" w:type="dxa"/>
            </w:tcMar>
          </w:tcPr>
          <w:p w14:paraId="49E5486B" w14:textId="77777777" w:rsidR="00BE2211" w:rsidRDefault="00000000">
            <w:pPr>
              <w:spacing w:after="0"/>
            </w:pPr>
            <w:r>
              <w:rPr>
                <w:sz w:val="20"/>
              </w:rPr>
              <w:t>No change (value stays the same)</w:t>
            </w:r>
          </w:p>
        </w:tc>
        <w:tc>
          <w:tcPr>
            <w:tcW w:w="3312" w:type="dxa"/>
            <w:tcMar>
              <w:top w:w="15" w:type="dxa"/>
              <w:bottom w:w="15" w:type="dxa"/>
            </w:tcMar>
          </w:tcPr>
          <w:p w14:paraId="7C180DDB" w14:textId="77777777" w:rsidR="00BE2211" w:rsidRDefault="00000000">
            <w:pPr>
              <w:spacing w:after="0"/>
              <w:jc w:val="center"/>
            </w:pPr>
            <w:r>
              <w:rPr>
                <w:sz w:val="20"/>
              </w:rPr>
              <w:t>0.417</w:t>
            </w:r>
          </w:p>
        </w:tc>
        <w:tc>
          <w:tcPr>
            <w:tcW w:w="2448" w:type="dxa"/>
            <w:tcMar>
              <w:top w:w="15" w:type="dxa"/>
              <w:bottom w:w="15" w:type="dxa"/>
            </w:tcMar>
          </w:tcPr>
          <w:p w14:paraId="41D8745C" w14:textId="77777777" w:rsidR="00BE2211" w:rsidRDefault="00000000">
            <w:pPr>
              <w:spacing w:after="0"/>
              <w:jc w:val="center"/>
            </w:pPr>
            <w:r>
              <w:rPr>
                <w:sz w:val="20"/>
              </w:rPr>
              <w:t>28.6%</w:t>
            </w:r>
          </w:p>
        </w:tc>
      </w:tr>
      <w:tr w:rsidR="00BE2211" w14:paraId="1CD85A74" w14:textId="77777777">
        <w:trPr>
          <w:jc w:val="center"/>
        </w:trPr>
        <w:tc>
          <w:tcPr>
            <w:tcW w:w="4320" w:type="dxa"/>
            <w:tcMar>
              <w:top w:w="15" w:type="dxa"/>
              <w:bottom w:w="15" w:type="dxa"/>
            </w:tcMar>
          </w:tcPr>
          <w:p w14:paraId="718AC9AB" w14:textId="77777777" w:rsidR="00BE2211" w:rsidRDefault="00000000">
            <w:pPr>
              <w:spacing w:after="0"/>
            </w:pPr>
            <w:r>
              <w:rPr>
                <w:sz w:val="20"/>
              </w:rPr>
              <w:t>Week 6 rule (fixed age adjustment)</w:t>
            </w:r>
          </w:p>
        </w:tc>
        <w:tc>
          <w:tcPr>
            <w:tcW w:w="3312" w:type="dxa"/>
            <w:tcMar>
              <w:top w:w="15" w:type="dxa"/>
              <w:bottom w:w="15" w:type="dxa"/>
            </w:tcMar>
          </w:tcPr>
          <w:p w14:paraId="74679CC7" w14:textId="77777777" w:rsidR="00BE2211" w:rsidRDefault="00000000">
            <w:pPr>
              <w:spacing w:after="0"/>
              <w:jc w:val="center"/>
            </w:pPr>
            <w:r>
              <w:rPr>
                <w:sz w:val="20"/>
              </w:rPr>
              <w:t>0.376</w:t>
            </w:r>
          </w:p>
        </w:tc>
        <w:tc>
          <w:tcPr>
            <w:tcW w:w="2448" w:type="dxa"/>
            <w:tcMar>
              <w:top w:w="15" w:type="dxa"/>
              <w:bottom w:w="15" w:type="dxa"/>
            </w:tcMar>
          </w:tcPr>
          <w:p w14:paraId="45F681A4" w14:textId="77777777" w:rsidR="00BE2211" w:rsidRDefault="00000000">
            <w:pPr>
              <w:spacing w:after="0"/>
              <w:jc w:val="center"/>
            </w:pPr>
            <w:r>
              <w:rPr>
                <w:sz w:val="20"/>
              </w:rPr>
              <w:t>22.6%</w:t>
            </w:r>
          </w:p>
        </w:tc>
      </w:tr>
      <w:tr w:rsidR="00BE2211" w14:paraId="482E262B" w14:textId="77777777">
        <w:trPr>
          <w:jc w:val="center"/>
        </w:trPr>
        <w:tc>
          <w:tcPr>
            <w:tcW w:w="4320" w:type="dxa"/>
            <w:tcMar>
              <w:top w:w="15" w:type="dxa"/>
              <w:bottom w:w="15" w:type="dxa"/>
            </w:tcMar>
          </w:tcPr>
          <w:p w14:paraId="3312E0DE" w14:textId="77777777" w:rsidR="00BE2211" w:rsidRDefault="00000000">
            <w:pPr>
              <w:spacing w:after="0"/>
            </w:pPr>
            <w:r>
              <w:rPr>
                <w:sz w:val="20"/>
              </w:rPr>
              <w:t>Linear regression (age, age squared)</w:t>
            </w:r>
          </w:p>
        </w:tc>
        <w:tc>
          <w:tcPr>
            <w:tcW w:w="3312" w:type="dxa"/>
            <w:tcMar>
              <w:top w:w="15" w:type="dxa"/>
              <w:bottom w:w="15" w:type="dxa"/>
            </w:tcMar>
          </w:tcPr>
          <w:p w14:paraId="76497E7C" w14:textId="77777777" w:rsidR="00BE2211" w:rsidRDefault="00000000">
            <w:pPr>
              <w:spacing w:after="0"/>
              <w:jc w:val="center"/>
            </w:pPr>
            <w:r>
              <w:rPr>
                <w:sz w:val="20"/>
              </w:rPr>
              <w:t>0.304</w:t>
            </w:r>
          </w:p>
        </w:tc>
        <w:tc>
          <w:tcPr>
            <w:tcW w:w="2448" w:type="dxa"/>
            <w:tcMar>
              <w:top w:w="15" w:type="dxa"/>
              <w:bottom w:w="15" w:type="dxa"/>
            </w:tcMar>
          </w:tcPr>
          <w:p w14:paraId="7C865314" w14:textId="77777777" w:rsidR="00BE2211" w:rsidRDefault="00000000">
            <w:pPr>
              <w:spacing w:after="0"/>
              <w:jc w:val="center"/>
            </w:pPr>
            <w:r>
              <w:rPr>
                <w:sz w:val="20"/>
              </w:rPr>
              <w:t>19.7%</w:t>
            </w:r>
          </w:p>
        </w:tc>
      </w:tr>
      <w:tr w:rsidR="00BE2211" w14:paraId="5344F164" w14:textId="77777777">
        <w:trPr>
          <w:jc w:val="center"/>
        </w:trPr>
        <w:tc>
          <w:tcPr>
            <w:tcW w:w="4320" w:type="dxa"/>
            <w:tcMar>
              <w:top w:w="15" w:type="dxa"/>
              <w:bottom w:w="15" w:type="dxa"/>
            </w:tcMar>
          </w:tcPr>
          <w:p w14:paraId="2D7B1BDC" w14:textId="77777777" w:rsidR="00BE2211" w:rsidRDefault="00000000">
            <w:pPr>
              <w:spacing w:after="0"/>
            </w:pPr>
            <w:r>
              <w:rPr>
                <w:sz w:val="20"/>
              </w:rPr>
              <w:t>Gradient boosting (all predictors)</w:t>
            </w:r>
          </w:p>
        </w:tc>
        <w:tc>
          <w:tcPr>
            <w:tcW w:w="3312" w:type="dxa"/>
            <w:tcMar>
              <w:top w:w="15" w:type="dxa"/>
              <w:bottom w:w="15" w:type="dxa"/>
            </w:tcMar>
          </w:tcPr>
          <w:p w14:paraId="66E89166" w14:textId="77777777" w:rsidR="00BE2211" w:rsidRDefault="00000000">
            <w:pPr>
              <w:spacing w:after="0"/>
              <w:jc w:val="center"/>
            </w:pPr>
            <w:r>
              <w:rPr>
                <w:sz w:val="20"/>
              </w:rPr>
              <w:t>0.228</w:t>
            </w:r>
          </w:p>
        </w:tc>
        <w:tc>
          <w:tcPr>
            <w:tcW w:w="2448" w:type="dxa"/>
            <w:tcMar>
              <w:top w:w="15" w:type="dxa"/>
              <w:bottom w:w="15" w:type="dxa"/>
            </w:tcMar>
          </w:tcPr>
          <w:p w14:paraId="031EE507" w14:textId="77777777" w:rsidR="00BE2211" w:rsidRDefault="00000000">
            <w:pPr>
              <w:spacing w:after="0"/>
              <w:jc w:val="center"/>
            </w:pPr>
            <w:r>
              <w:rPr>
                <w:sz w:val="20"/>
              </w:rPr>
              <w:t>15.0%</w:t>
            </w:r>
          </w:p>
        </w:tc>
      </w:tr>
      <w:tr w:rsidR="00BE2211" w14:paraId="534B480F" w14:textId="77777777">
        <w:trPr>
          <w:jc w:val="center"/>
        </w:trPr>
        <w:tc>
          <w:tcPr>
            <w:tcW w:w="4320" w:type="dxa"/>
            <w:tcMar>
              <w:top w:w="15" w:type="dxa"/>
              <w:bottom w:w="15" w:type="dxa"/>
            </w:tcMar>
          </w:tcPr>
          <w:p w14:paraId="16ED7DD9" w14:textId="77777777" w:rsidR="00BE2211" w:rsidRDefault="00000000">
            <w:pPr>
              <w:spacing w:after="0"/>
            </w:pPr>
            <w:r>
              <w:rPr>
                <w:sz w:val="20"/>
              </w:rPr>
              <w:t>Random forest (all predictors)</w:t>
            </w:r>
          </w:p>
        </w:tc>
        <w:tc>
          <w:tcPr>
            <w:tcW w:w="3312" w:type="dxa"/>
            <w:tcMar>
              <w:top w:w="15" w:type="dxa"/>
              <w:bottom w:w="15" w:type="dxa"/>
            </w:tcMar>
          </w:tcPr>
          <w:p w14:paraId="3001A342" w14:textId="77777777" w:rsidR="00BE2211" w:rsidRDefault="00000000">
            <w:pPr>
              <w:spacing w:after="0"/>
              <w:jc w:val="center"/>
            </w:pPr>
            <w:r>
              <w:rPr>
                <w:sz w:val="20"/>
              </w:rPr>
              <w:t>0.217</w:t>
            </w:r>
          </w:p>
        </w:tc>
        <w:tc>
          <w:tcPr>
            <w:tcW w:w="2448" w:type="dxa"/>
            <w:tcMar>
              <w:top w:w="15" w:type="dxa"/>
              <w:bottom w:w="15" w:type="dxa"/>
            </w:tcMar>
          </w:tcPr>
          <w:p w14:paraId="49E0E202" w14:textId="77777777" w:rsidR="00BE2211" w:rsidRDefault="00000000">
            <w:pPr>
              <w:spacing w:after="0"/>
              <w:jc w:val="center"/>
            </w:pPr>
            <w:r>
              <w:rPr>
                <w:sz w:val="20"/>
              </w:rPr>
              <w:t>13.1%</w:t>
            </w:r>
          </w:p>
        </w:tc>
      </w:tr>
      <w:tr w:rsidR="00BE2211" w14:paraId="71327CF9" w14:textId="77777777">
        <w:trPr>
          <w:jc w:val="center"/>
        </w:trPr>
        <w:tc>
          <w:tcPr>
            <w:tcW w:w="4320" w:type="dxa"/>
            <w:tcMar>
              <w:top w:w="15" w:type="dxa"/>
              <w:bottom w:w="15" w:type="dxa"/>
            </w:tcMar>
          </w:tcPr>
          <w:p w14:paraId="0A183F6B" w14:textId="77777777" w:rsidR="00BE2211" w:rsidRDefault="00000000">
            <w:pPr>
              <w:spacing w:after="0"/>
            </w:pPr>
            <w:r>
              <w:rPr>
                <w:b/>
                <w:sz w:val="20"/>
              </w:rPr>
              <w:t>Age-curve regression with momentum (chosen)</w:t>
            </w:r>
          </w:p>
        </w:tc>
        <w:tc>
          <w:tcPr>
            <w:tcW w:w="3312" w:type="dxa"/>
            <w:tcMar>
              <w:top w:w="15" w:type="dxa"/>
              <w:bottom w:w="15" w:type="dxa"/>
            </w:tcMar>
          </w:tcPr>
          <w:p w14:paraId="5F45A8C9" w14:textId="77777777" w:rsidR="00BE2211" w:rsidRDefault="00000000">
            <w:pPr>
              <w:spacing w:after="0"/>
              <w:jc w:val="center"/>
            </w:pPr>
            <w:r>
              <w:rPr>
                <w:b/>
                <w:sz w:val="20"/>
              </w:rPr>
              <w:t>0.212</w:t>
            </w:r>
          </w:p>
        </w:tc>
        <w:tc>
          <w:tcPr>
            <w:tcW w:w="2448" w:type="dxa"/>
            <w:tcMar>
              <w:top w:w="15" w:type="dxa"/>
              <w:bottom w:w="15" w:type="dxa"/>
            </w:tcMar>
          </w:tcPr>
          <w:p w14:paraId="0E691AB6" w14:textId="77777777" w:rsidR="00BE2211" w:rsidRDefault="00000000">
            <w:pPr>
              <w:spacing w:after="0"/>
              <w:jc w:val="center"/>
            </w:pPr>
            <w:r>
              <w:rPr>
                <w:b/>
                <w:sz w:val="20"/>
              </w:rPr>
              <w:t>12.1%</w:t>
            </w:r>
          </w:p>
        </w:tc>
      </w:tr>
    </w:tbl>
    <w:p w14:paraId="38F159E3" w14:textId="77777777" w:rsidR="00BE2211" w:rsidRDefault="00000000">
      <w:pPr>
        <w:keepNext/>
        <w:spacing w:before="100" w:after="40"/>
      </w:pPr>
      <w:r>
        <w:rPr>
          <w:b/>
          <w:sz w:val="24"/>
        </w:rPr>
        <w:t>3. How the information supports an informed decision</w:t>
      </w:r>
    </w:p>
    <w:p w14:paraId="1E123601" w14:textId="41CE80B3" w:rsidR="00BE2211" w:rsidRDefault="00000000">
      <w:r>
        <w:rPr>
          <w:b/>
        </w:rPr>
        <w:t xml:space="preserve">Predictive performance. </w:t>
      </w:r>
      <w:r>
        <w:t>Forecasts made in June 2025 for 195 players were compared with their actual January 2026 values. The typical error was 12%, against 23% for the Week 6 rule. The 80% range contained 80% of the actual values and the 95% range 92%, so the stated uncertainty can be believed. The old fixed range contained only 29%. The screen also shows where the model is weaker: 11 players were older than anyone in the training data. The tool flagged them, and they were its worst forecasts, so the same flag on the what-if screen means the forecast should not be relied on. Because of those players, gradient boosting and the random forest had a slightly lower RMSE over the whole test (0.250 and 0.269 against 0.277); at the ages seen in training the chosen model was the most accurate of the three (0.181 against 0.194 and 0.212).</w:t>
      </w:r>
    </w:p>
    <w:p w14:paraId="3BAE845A" w14:textId="3FD129EC" w:rsidR="00BE2211" w:rsidRDefault="00000000">
      <w:r>
        <w:rPr>
          <w:b/>
        </w:rPr>
        <w:t xml:space="preserve">What-if analysis. </w:t>
      </w:r>
      <w:r>
        <w:t>The user changes the predictors (value now, value a year ago, age) and the asking price. The model re-predicts and the screen shows the forecast, the 80% and 95% prediction intervals, the 95% confidence interval, the chance that the player is worth at least the asking price, and the highest price to pay for 50%, 75% or 90% certainty.</w:t>
      </w:r>
    </w:p>
    <w:p w14:paraId="31184F2E" w14:textId="77777777" w:rsidR="00BE2211" w:rsidRDefault="00000000">
      <w:r>
        <w:rPr>
          <w:b/>
        </w:rPr>
        <w:t xml:space="preserve">Example. </w:t>
      </w:r>
      <w:r>
        <w:t>Shortlisted Player 105 is offered at EUR 57.0K. The Week 6 rule says bid at the asking price, because the price is 2% below its fair value. The model forecasts EUR 51.1K (80% range EUR 40.2K to EUR 64.9K), so the chance that the fee holds its value is only 28%, and a buyer who wants to be 75% sure should pay no more than EUR 45.0K. The decision moves from accepting the price to negotiating down or walking away. The screen also shows that the reading changes inside the 80% range, so the user knows this is a judgement call and not a certain answer.</w:t>
      </w:r>
    </w:p>
    <w:p w14:paraId="0CA2736D" w14:textId="77777777" w:rsidR="00BE2211" w:rsidRDefault="00000000">
      <w:pPr>
        <w:spacing w:after="0"/>
      </w:pPr>
      <w:r>
        <w:rPr>
          <w:b/>
        </w:rPr>
        <w:t xml:space="preserve">Limits. </w:t>
      </w:r>
      <w:r>
        <w:t>The data is synthetic, the model has three predictors and one year of value history, and it must be re-fitted on real data before real use. The forecast informs the price; it does not replace the screening rules.</w:t>
      </w:r>
    </w:p>
    <w:sectPr w:rsidR="00BE2211"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8013210">
    <w:abstractNumId w:val="8"/>
  </w:num>
  <w:num w:numId="2" w16cid:durableId="1264532050">
    <w:abstractNumId w:val="6"/>
  </w:num>
  <w:num w:numId="3" w16cid:durableId="1466117977">
    <w:abstractNumId w:val="5"/>
  </w:num>
  <w:num w:numId="4" w16cid:durableId="2106262938">
    <w:abstractNumId w:val="4"/>
  </w:num>
  <w:num w:numId="5" w16cid:durableId="1354184150">
    <w:abstractNumId w:val="7"/>
  </w:num>
  <w:num w:numId="6" w16cid:durableId="1971662414">
    <w:abstractNumId w:val="3"/>
  </w:num>
  <w:num w:numId="7" w16cid:durableId="568882090">
    <w:abstractNumId w:val="2"/>
  </w:num>
  <w:num w:numId="8" w16cid:durableId="1261569347">
    <w:abstractNumId w:val="1"/>
  </w:num>
  <w:num w:numId="9" w16cid:durableId="1901287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176"/>
    <w:rsid w:val="00034616"/>
    <w:rsid w:val="0006063C"/>
    <w:rsid w:val="00063936"/>
    <w:rsid w:val="000E4521"/>
    <w:rsid w:val="0015074B"/>
    <w:rsid w:val="00230195"/>
    <w:rsid w:val="0029639D"/>
    <w:rsid w:val="00326F90"/>
    <w:rsid w:val="00AA1D8D"/>
    <w:rsid w:val="00B47730"/>
    <w:rsid w:val="00BE2211"/>
    <w:rsid w:val="00C23B85"/>
    <w:rsid w:val="00C977C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80DCC5"/>
  <w14:defaultImageDpi w14:val="300"/>
  <w15:docId w15:val="{9010719B-7D4C-4535-81F8-AFD68108D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665</Words>
  <Characters>3794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Abdur Rafay</cp:lastModifiedBy>
  <cp:revision>6</cp:revision>
  <dcterms:created xsi:type="dcterms:W3CDTF">2013-12-23T23:15:00Z</dcterms:created>
  <dcterms:modified xsi:type="dcterms:W3CDTF">2026-10-13T08:26:00Z</dcterms:modified>
  <cp:category/>
</cp:coreProperties>
</file>