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pPr>
      <w:bookmarkStart w:colFirst="0" w:colLast="0" w:name="_8bl3nefyk6wg" w:id="0"/>
      <w:bookmarkEnd w:id="0"/>
      <w:r w:rsidDel="00000000" w:rsidR="00000000" w:rsidRPr="00000000">
        <w:rPr>
          <w:rtl w:val="0"/>
        </w:rPr>
        <w:t xml:space="preserve">Plan de trabajo: incorporación de Flowable a BPMPLUS</w:t>
      </w:r>
    </w:p>
    <w:p w:rsidR="00000000" w:rsidDel="00000000" w:rsidP="00000000" w:rsidRDefault="00000000" w:rsidRPr="00000000" w14:paraId="00000002">
      <w:pPr>
        <w:pStyle w:val="Heading2"/>
        <w:rPr/>
      </w:pPr>
      <w:bookmarkStart w:colFirst="0" w:colLast="0" w:name="_7jy68coqgtht" w:id="1"/>
      <w:bookmarkEnd w:id="1"/>
      <w:r w:rsidDel="00000000" w:rsidR="00000000" w:rsidRPr="00000000">
        <w:rPr>
          <w:rtl w:val="0"/>
        </w:rPr>
        <w:t xml:space="preserve">Objetivo</w:t>
      </w:r>
    </w:p>
    <w:p w:rsidR="00000000" w:rsidDel="00000000" w:rsidP="00000000" w:rsidRDefault="00000000" w:rsidRPr="00000000" w14:paraId="00000003">
      <w:pPr>
        <w:rPr/>
      </w:pPr>
      <w:r w:rsidDel="00000000" w:rsidR="00000000" w:rsidRPr="00000000">
        <w:rPr>
          <w:rtl w:val="0"/>
        </w:rPr>
        <w:t xml:space="preserve">Incorporar el motor BPM </w:t>
      </w:r>
      <w:hyperlink r:id="rId6">
        <w:r w:rsidDel="00000000" w:rsidR="00000000" w:rsidRPr="00000000">
          <w:rPr>
            <w:color w:val="1155cc"/>
            <w:u w:val="single"/>
            <w:rtl w:val="0"/>
          </w:rPr>
          <w:t xml:space="preserve">Flowable Open Source</w:t>
        </w:r>
      </w:hyperlink>
      <w:r w:rsidDel="00000000" w:rsidR="00000000" w:rsidRPr="00000000">
        <w:rPr>
          <w:rtl w:val="0"/>
        </w:rPr>
        <w:t xml:space="preserve"> al proyecto </w:t>
      </w:r>
      <w:r w:rsidDel="00000000" w:rsidR="00000000" w:rsidRPr="00000000">
        <w:rPr>
          <w:b w:val="1"/>
          <w:bCs w:val="1"/>
          <w:rtl w:val="0"/>
        </w:rPr>
        <w:t xml:space="preserve">BPMPLUS</w:t>
      </w:r>
      <w:r w:rsidDel="00000000" w:rsidR="00000000" w:rsidRPr="00000000">
        <w:rPr>
          <w:rtl w:val="0"/>
        </w:rPr>
        <w:t xml:space="preserve">, construido sobre IntelliJ + Grails + MySQL, reutilizando la base de código de </w:t>
      </w:r>
      <w:r w:rsidDel="00000000" w:rsidR="00000000" w:rsidRPr="00000000">
        <w:rPr>
          <w:rFonts w:ascii="Roboto Mono" w:cs="Roboto Mono" w:eastAsia="Roboto Mono" w:hAnsi="Roboto Mono"/>
          <w:color w:val="188038"/>
          <w:rtl w:val="0"/>
        </w:rPr>
        <w:t xml:space="preserve">proyecto001</w:t>
      </w:r>
      <w:r w:rsidDel="00000000" w:rsidR="00000000" w:rsidRPr="00000000">
        <w:rPr>
          <w:rtl w:val="0"/>
        </w:rPr>
        <w:t xml:space="preserve"> (que ya cuenta con multi-tenancy por base de datos independiente y Spring Security implementados).</w:t>
      </w:r>
    </w:p>
    <w:p w:rsidR="00000000" w:rsidDel="00000000" w:rsidP="00000000" w:rsidRDefault="00000000" w:rsidRPr="00000000" w14:paraId="00000004">
      <w:pPr>
        <w:pStyle w:val="Heading2"/>
        <w:rPr/>
      </w:pPr>
      <w:bookmarkStart w:colFirst="0" w:colLast="0" w:name="_kqqh4kxbwky0" w:id="2"/>
      <w:bookmarkEnd w:id="2"/>
      <w:r w:rsidDel="00000000" w:rsidR="00000000" w:rsidRPr="00000000">
        <w:rPr>
          <w:rtl w:val="0"/>
        </w:rPr>
        <w:t xml:space="preserve">Estado actual</w:t>
      </w:r>
    </w:p>
    <w:p w:rsidR="00000000" w:rsidDel="00000000" w:rsidP="00000000" w:rsidRDefault="00000000" w:rsidRPr="00000000" w14:paraId="00000005">
      <w:pPr>
        <w:numPr>
          <w:ilvl w:val="0"/>
          <w:numId w:val="2"/>
        </w:numPr>
        <w:ind w:left="720" w:hanging="360"/>
      </w:pPr>
      <w:r w:rsidDel="00000000" w:rsidR="00000000" w:rsidRPr="00000000">
        <w:rPr>
          <w:rtl w:val="0"/>
        </w:rPr>
        <w:t xml:space="preserve">Bases de datos </w:t>
      </w:r>
      <w:r w:rsidDel="00000000" w:rsidR="00000000" w:rsidRPr="00000000">
        <w:rPr>
          <w:rFonts w:ascii="Roboto Mono" w:cs="Roboto Mono" w:eastAsia="Roboto Mono" w:hAnsi="Roboto Mono"/>
          <w:color w:val="188038"/>
          <w:rtl w:val="0"/>
        </w:rPr>
        <w:t xml:space="preserve">BPMPLUS</w:t>
      </w:r>
      <w:r w:rsidDel="00000000" w:rsidR="00000000" w:rsidRPr="00000000">
        <w:rPr>
          <w:rtl w:val="0"/>
        </w:rPr>
        <w:t xml:space="preserve"> y </w:t>
      </w:r>
      <w:r w:rsidDel="00000000" w:rsidR="00000000" w:rsidRPr="00000000">
        <w:rPr>
          <w:rFonts w:ascii="Roboto Mono" w:cs="Roboto Mono" w:eastAsia="Roboto Mono" w:hAnsi="Roboto Mono"/>
          <w:color w:val="188038"/>
          <w:rtl w:val="0"/>
        </w:rPr>
        <w:t xml:space="preserve">BPMPLUS_TEST</w:t>
      </w:r>
      <w:r w:rsidDel="00000000" w:rsidR="00000000" w:rsidRPr="00000000">
        <w:rPr>
          <w:rtl w:val="0"/>
        </w:rPr>
        <w:t xml:space="preserve"> creadas en MySQL.</w:t>
      </w:r>
    </w:p>
    <w:p w:rsidR="00000000" w:rsidDel="00000000" w:rsidP="00000000" w:rsidRDefault="00000000" w:rsidRPr="00000000" w14:paraId="00000006">
      <w:pPr>
        <w:numPr>
          <w:ilvl w:val="0"/>
          <w:numId w:val="2"/>
        </w:numPr>
        <w:ind w:left="720" w:hanging="360"/>
      </w:pPr>
      <w:r w:rsidDel="00000000" w:rsidR="00000000" w:rsidRPr="00000000">
        <w:rPr>
          <w:rtl w:val="0"/>
        </w:rPr>
        <w:t xml:space="preserve">Repositorio en GitHub creado.</w:t>
      </w:r>
    </w:p>
    <w:p w:rsidR="00000000" w:rsidDel="00000000" w:rsidP="00000000" w:rsidRDefault="00000000" w:rsidRPr="00000000" w14:paraId="00000007">
      <w:pPr>
        <w:numPr>
          <w:ilvl w:val="0"/>
          <w:numId w:val="2"/>
        </w:numPr>
        <w:ind w:left="720" w:hanging="360"/>
      </w:pPr>
      <w:r w:rsidDel="00000000" w:rsidR="00000000" w:rsidRPr="00000000">
        <w:rPr>
          <w:rtl w:val="0"/>
        </w:rPr>
        <w:t xml:space="preserve">Base de código reutilizada de </w:t>
      </w:r>
      <w:r w:rsidDel="00000000" w:rsidR="00000000" w:rsidRPr="00000000">
        <w:rPr>
          <w:rFonts w:ascii="Roboto Mono" w:cs="Roboto Mono" w:eastAsia="Roboto Mono" w:hAnsi="Roboto Mono"/>
          <w:color w:val="188038"/>
          <w:rtl w:val="0"/>
        </w:rPr>
        <w:t xml:space="preserve">proyecto001</w:t>
      </w:r>
      <w:r w:rsidDel="00000000" w:rsidR="00000000" w:rsidRPr="00000000">
        <w:rPr>
          <w:rtl w:val="0"/>
        </w:rPr>
        <w:t xml:space="preserve"> (multi-tenancy + Spring Security ya implementados).</w:t>
      </w:r>
    </w:p>
    <w:p w:rsidR="00000000" w:rsidDel="00000000" w:rsidP="00000000" w:rsidRDefault="00000000" w:rsidRPr="00000000" w14:paraId="00000008">
      <w:pPr>
        <w:numPr>
          <w:ilvl w:val="0"/>
          <w:numId w:val="2"/>
        </w:numPr>
        <w:ind w:left="720" w:hanging="360"/>
      </w:pPr>
      <w:r w:rsidDel="00000000" w:rsidR="00000000" w:rsidRPr="00000000">
        <w:rPr>
          <w:rtl w:val="0"/>
        </w:rPr>
        <w:t xml:space="preserve">Integración de Flowable (fases siguientes).</w:t>
      </w:r>
    </w:p>
    <w:p w:rsidR="00000000" w:rsidDel="00000000" w:rsidP="00000000" w:rsidRDefault="00000000" w:rsidRPr="00000000" w14:paraId="00000009">
      <w:pPr>
        <w:pStyle w:val="Heading2"/>
        <w:rPr/>
      </w:pPr>
      <w:bookmarkStart w:colFirst="0" w:colLast="0" w:name="_1y3x5t29j2m6" w:id="3"/>
      <w:bookmarkEnd w:id="3"/>
      <w:r w:rsidDel="00000000" w:rsidR="00000000" w:rsidRPr="00000000">
        <w:rPr>
          <w:rtl w:val="0"/>
        </w:rPr>
        <w:t xml:space="preserve">Verificación de compatibilidad</w:t>
      </w:r>
    </w:p>
    <w:p w:rsidR="00000000" w:rsidDel="00000000" w:rsidP="00000000" w:rsidRDefault="00000000" w:rsidRPr="00000000" w14:paraId="0000000A">
      <w:pPr>
        <w:rPr/>
      </w:pPr>
      <w:r w:rsidDel="00000000" w:rsidR="00000000" w:rsidRPr="00000000">
        <w:rPr>
          <w:rtl w:val="0"/>
        </w:rPr>
        <w:t xml:space="preserve">Flowable Open Source 7.x requiere Java 17 como base y soporta Spring Boot 3 de forma nativa — coincide con el stack actual (Corretto 17, Grails 7.2.3 sobre Spring Boot 3.5.16). Respecto a MySQL, Flowable soporta ampliamente MySQL 8.0; MySQL 8.4 no está confirmado explícitamente para la versión open source, por lo que se valida en la Fase 0.</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t xml:space="preserve">Un cambio relevante de la versión 7: se eliminaron las aplicaciones web de Flowable UI (el modelador visual de procesos BPMN incluido antes), por lo que se necesita una herramienta externa para diseñar los diagramas BPMN (Fase 3).</w:t>
      </w:r>
    </w:p>
    <w:p w:rsidR="00000000" w:rsidDel="00000000" w:rsidP="00000000" w:rsidRDefault="00000000" w:rsidRPr="00000000" w14:paraId="0000000D">
      <w:pPr>
        <w:pStyle w:val="Heading2"/>
        <w:rPr/>
      </w:pPr>
      <w:bookmarkStart w:colFirst="0" w:colLast="0" w:name="_mol2binko8zz" w:id="4"/>
      <w:bookmarkEnd w:id="4"/>
      <w:r w:rsidDel="00000000" w:rsidR="00000000" w:rsidRPr="00000000">
        <w:rPr>
          <w:rtl w:val="0"/>
        </w:rPr>
        <w:t xml:space="preserve">Decisión de arquitectura clave</w:t>
      </w:r>
    </w:p>
    <w:p w:rsidR="00000000" w:rsidDel="00000000" w:rsidP="00000000" w:rsidRDefault="00000000" w:rsidRPr="00000000" w14:paraId="0000000E">
      <w:pPr>
        <w:rPr/>
      </w:pPr>
      <w:r w:rsidDel="00000000" w:rsidR="00000000" w:rsidRPr="00000000">
        <w:rPr>
          <w:rtl w:val="0"/>
        </w:rPr>
        <w:t xml:space="preserve">Flowable incluye soporte </w:t>
      </w:r>
      <w:r w:rsidDel="00000000" w:rsidR="00000000" w:rsidRPr="00000000">
        <w:rPr>
          <w:b w:val="1"/>
          <w:bCs w:val="1"/>
          <w:rtl w:val="0"/>
        </w:rPr>
        <w:t xml:space="preserve">nativo</w:t>
      </w:r>
      <w:r w:rsidDel="00000000" w:rsidR="00000000" w:rsidRPr="00000000">
        <w:rPr>
          <w:rtl w:val="0"/>
        </w:rPr>
        <w:t xml:space="preserve"> para multi-tenancy por esquema independiente (</w:t>
      </w:r>
      <w:r w:rsidDel="00000000" w:rsidR="00000000" w:rsidRPr="00000000">
        <w:rPr>
          <w:rFonts w:ascii="Roboto Mono" w:cs="Roboto Mono" w:eastAsia="Roboto Mono" w:hAnsi="Roboto Mono"/>
          <w:color w:val="188038"/>
          <w:rtl w:val="0"/>
        </w:rPr>
        <w:t xml:space="preserve">MultiSchemaMultiTenantProcessEngineConfiguration</w:t>
      </w:r>
      <w:r w:rsidDel="00000000" w:rsidR="00000000" w:rsidRPr="00000000">
        <w:rPr>
          <w:rtl w:val="0"/>
        </w:rPr>
        <w:t xml:space="preserve">), donde cada tenant tiene su propio esquema de base de datos y los tenants se registran dinámicamente en tiempo de ejecución —incluso después de que el motor ya arrancó— con </w:t>
      </w:r>
      <w:r w:rsidDel="00000000" w:rsidR="00000000" w:rsidRPr="00000000">
        <w:rPr>
          <w:rFonts w:ascii="Roboto Mono" w:cs="Roboto Mono" w:eastAsia="Roboto Mono" w:hAnsi="Roboto Mono"/>
          <w:color w:val="188038"/>
          <w:rtl w:val="0"/>
        </w:rPr>
        <w:t xml:space="preserve">registerTenant(tenantId, dataSource)</w:t>
      </w:r>
      <w:r w:rsidDel="00000000" w:rsidR="00000000" w:rsidRPr="00000000">
        <w:rPr>
          <w:rtl w:val="0"/>
        </w:rPr>
        <w:t xml:space="preserve">.</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t xml:space="preserve">Esto coincide con el modelo de "base de datos independiente por cliente" ya implementado en </w:t>
      </w:r>
      <w:r w:rsidDel="00000000" w:rsidR="00000000" w:rsidRPr="00000000">
        <w:rPr>
          <w:rFonts w:ascii="Roboto Mono" w:cs="Roboto Mono" w:eastAsia="Roboto Mono" w:hAnsi="Roboto Mono"/>
          <w:color w:val="188038"/>
          <w:rtl w:val="0"/>
        </w:rPr>
        <w:t xml:space="preserve">proyecto001</w:t>
      </w:r>
      <w:r w:rsidDel="00000000" w:rsidR="00000000" w:rsidRPr="00000000">
        <w:rPr>
          <w:rtl w:val="0"/>
        </w:rPr>
        <w:t xml:space="preserve"> vía GORM. Por lo tanto, la integración usa el motor base de Flowable (</w:t>
      </w:r>
      <w:r w:rsidDel="00000000" w:rsidR="00000000" w:rsidRPr="00000000">
        <w:rPr>
          <w:rFonts w:ascii="Roboto Mono" w:cs="Roboto Mono" w:eastAsia="Roboto Mono" w:hAnsi="Roboto Mono"/>
          <w:color w:val="188038"/>
          <w:rtl w:val="0"/>
        </w:rPr>
        <w:t xml:space="preserve">org.flowable:flowable-engine</w:t>
      </w:r>
      <w:r w:rsidDel="00000000" w:rsidR="00000000" w:rsidRPr="00000000">
        <w:rPr>
          <w:rtl w:val="0"/>
        </w:rPr>
        <w:t xml:space="preserve">) configurado manualmente, </w:t>
      </w:r>
      <w:r w:rsidDel="00000000" w:rsidR="00000000" w:rsidRPr="00000000">
        <w:rPr>
          <w:b w:val="1"/>
          <w:bCs w:val="1"/>
          <w:rtl w:val="0"/>
        </w:rPr>
        <w:t xml:space="preserve">no</w:t>
      </w:r>
      <w:r w:rsidDel="00000000" w:rsidR="00000000" w:rsidRPr="00000000">
        <w:rPr>
          <w:rtl w:val="0"/>
        </w:rPr>
        <w:t xml:space="preserve"> el starter de auto-configuración de Spring Boot (</w:t>
      </w:r>
      <w:r w:rsidDel="00000000" w:rsidR="00000000" w:rsidRPr="00000000">
        <w:rPr>
          <w:rFonts w:ascii="Roboto Mono" w:cs="Roboto Mono" w:eastAsia="Roboto Mono" w:hAnsi="Roboto Mono"/>
          <w:color w:val="188038"/>
          <w:rtl w:val="0"/>
        </w:rPr>
        <w:t xml:space="preserve">flowable-spring-boot-starter</w:t>
      </w:r>
      <w:r w:rsidDel="00000000" w:rsidR="00000000" w:rsidRPr="00000000">
        <w:rPr>
          <w:rtl w:val="0"/>
        </w:rPr>
        <w:t xml:space="preserve">), que asume un único datasource.</w:t>
      </w:r>
    </w:p>
    <w:p w:rsidR="00000000" w:rsidDel="00000000" w:rsidP="00000000" w:rsidRDefault="00000000" w:rsidRPr="00000000" w14:paraId="00000011">
      <w:pPr>
        <w:pStyle w:val="Heading2"/>
        <w:rPr/>
      </w:pPr>
      <w:bookmarkStart w:colFirst="0" w:colLast="0" w:name="_8v0ll98zwr3u" w:id="5"/>
      <w:bookmarkEnd w:id="5"/>
      <w:r w:rsidDel="00000000" w:rsidR="00000000" w:rsidRPr="00000000">
        <w:rPr>
          <w:rtl w:val="0"/>
        </w:rPr>
        <w:t xml:space="preserve">Fases</w:t>
      </w:r>
    </w:p>
    <w:p w:rsidR="00000000" w:rsidDel="00000000" w:rsidP="00000000" w:rsidRDefault="00000000" w:rsidRPr="00000000" w14:paraId="00000012">
      <w:pPr>
        <w:pStyle w:val="Heading3"/>
        <w:rPr/>
      </w:pPr>
      <w:bookmarkStart w:colFirst="0" w:colLast="0" w:name="_jogiemjuynam" w:id="6"/>
      <w:bookmarkEnd w:id="6"/>
      <w:r w:rsidDel="00000000" w:rsidR="00000000" w:rsidRPr="00000000">
        <w:rPr>
          <w:rtl w:val="0"/>
        </w:rPr>
        <w:t xml:space="preserve">Fase 0 — Spike de validación</w:t>
      </w:r>
    </w:p>
    <w:p w:rsidR="00000000" w:rsidDel="00000000" w:rsidP="00000000" w:rsidRDefault="00000000" w:rsidRPr="00000000" w14:paraId="00000013">
      <w:pPr>
        <w:numPr>
          <w:ilvl w:val="0"/>
          <w:numId w:val="3"/>
        </w:numPr>
        <w:ind w:left="720" w:hanging="360"/>
      </w:pPr>
      <w:r w:rsidDel="00000000" w:rsidR="00000000" w:rsidRPr="00000000">
        <w:rPr>
          <w:rtl w:val="0"/>
        </w:rPr>
        <w:t xml:space="preserve">Agregar la dependencia </w:t>
      </w:r>
      <w:r w:rsidDel="00000000" w:rsidR="00000000" w:rsidRPr="00000000">
        <w:rPr>
          <w:rFonts w:ascii="Roboto Mono" w:cs="Roboto Mono" w:eastAsia="Roboto Mono" w:hAnsi="Roboto Mono"/>
          <w:color w:val="188038"/>
          <w:rtl w:val="0"/>
        </w:rPr>
        <w:t xml:space="preserve">org.flowable:flowable-engine</w:t>
      </w:r>
      <w:r w:rsidDel="00000000" w:rsidR="00000000" w:rsidRPr="00000000">
        <w:rPr>
          <w:rtl w:val="0"/>
        </w:rPr>
        <w:t xml:space="preserve"> en </w:t>
      </w:r>
      <w:r w:rsidDel="00000000" w:rsidR="00000000" w:rsidRPr="00000000">
        <w:rPr>
          <w:rFonts w:ascii="Roboto Mono" w:cs="Roboto Mono" w:eastAsia="Roboto Mono" w:hAnsi="Roboto Mono"/>
          <w:color w:val="188038"/>
          <w:rtl w:val="0"/>
        </w:rPr>
        <w:t xml:space="preserve">build.gradle</w:t>
      </w:r>
      <w:r w:rsidDel="00000000" w:rsidR="00000000" w:rsidRPr="00000000">
        <w:rPr>
          <w:rtl w:val="0"/>
        </w:rPr>
        <w:t xml:space="preserve"> (dependencias de la app).</w:t>
      </w:r>
    </w:p>
    <w:p w:rsidR="00000000" w:rsidDel="00000000" w:rsidP="00000000" w:rsidRDefault="00000000" w:rsidRPr="00000000" w14:paraId="00000014">
      <w:pPr>
        <w:numPr>
          <w:ilvl w:val="0"/>
          <w:numId w:val="3"/>
        </w:numPr>
        <w:ind w:left="720" w:hanging="360"/>
      </w:pPr>
      <w:r w:rsidDel="00000000" w:rsidR="00000000" w:rsidRPr="00000000">
        <w:rPr>
          <w:rtl w:val="0"/>
        </w:rPr>
        <w:t xml:space="preserve">Configurar manualmente un </w:t>
      </w:r>
      <w:r w:rsidDel="00000000" w:rsidR="00000000" w:rsidRPr="00000000">
        <w:rPr>
          <w:rFonts w:ascii="Roboto Mono" w:cs="Roboto Mono" w:eastAsia="Roboto Mono" w:hAnsi="Roboto Mono"/>
          <w:color w:val="188038"/>
          <w:rtl w:val="0"/>
        </w:rPr>
        <w:t xml:space="preserve">MultiSchemaMultiTenantProcessEngineConfiguration</w:t>
      </w:r>
      <w:r w:rsidDel="00000000" w:rsidR="00000000" w:rsidRPr="00000000">
        <w:rPr>
          <w:rtl w:val="0"/>
        </w:rPr>
        <w:t xml:space="preserve">, registrando </w:t>
      </w:r>
      <w:r w:rsidDel="00000000" w:rsidR="00000000" w:rsidRPr="00000000">
        <w:rPr>
          <w:rFonts w:ascii="Roboto Mono" w:cs="Roboto Mono" w:eastAsia="Roboto Mono" w:hAnsi="Roboto Mono"/>
          <w:color w:val="188038"/>
          <w:rtl w:val="0"/>
        </w:rPr>
        <w:t xml:space="preserve">BPMPLUS</w:t>
      </w:r>
      <w:r w:rsidDel="00000000" w:rsidR="00000000" w:rsidRPr="00000000">
        <w:rPr>
          <w:rtl w:val="0"/>
        </w:rPr>
        <w:t xml:space="preserve"> y </w:t>
      </w:r>
      <w:r w:rsidDel="00000000" w:rsidR="00000000" w:rsidRPr="00000000">
        <w:rPr>
          <w:rFonts w:ascii="Roboto Mono" w:cs="Roboto Mono" w:eastAsia="Roboto Mono" w:hAnsi="Roboto Mono"/>
          <w:color w:val="188038"/>
          <w:rtl w:val="0"/>
        </w:rPr>
        <w:t xml:space="preserve">BPMPLUS_TEST</w:t>
      </w:r>
      <w:r w:rsidDel="00000000" w:rsidR="00000000" w:rsidRPr="00000000">
        <w:rPr>
          <w:rtl w:val="0"/>
        </w:rPr>
        <w:t xml:space="preserve"> como tenants de prueba vía </w:t>
      </w:r>
      <w:r w:rsidDel="00000000" w:rsidR="00000000" w:rsidRPr="00000000">
        <w:rPr>
          <w:rFonts w:ascii="Roboto Mono" w:cs="Roboto Mono" w:eastAsia="Roboto Mono" w:hAnsi="Roboto Mono"/>
          <w:color w:val="188038"/>
          <w:rtl w:val="0"/>
        </w:rPr>
        <w:t xml:space="preserve">registerTenant(tenantId, dataSource)</w:t>
      </w:r>
      <w:r w:rsidDel="00000000" w:rsidR="00000000" w:rsidRPr="00000000">
        <w:rPr>
          <w:rtl w:val="0"/>
        </w:rPr>
        <w:t xml:space="preserve">, reutilizando los datasources ya definidos para el multi-tenancy de GORM.</w:t>
      </w:r>
    </w:p>
    <w:p w:rsidR="00000000" w:rsidDel="00000000" w:rsidP="00000000" w:rsidRDefault="00000000" w:rsidRPr="00000000" w14:paraId="00000015">
      <w:pPr>
        <w:numPr>
          <w:ilvl w:val="0"/>
          <w:numId w:val="3"/>
        </w:numPr>
        <w:ind w:left="720" w:hanging="360"/>
      </w:pPr>
      <w:r w:rsidDel="00000000" w:rsidR="00000000" w:rsidRPr="00000000">
        <w:rPr>
          <w:rtl w:val="0"/>
        </w:rPr>
        <w:t xml:space="preserve">Arrancar la aplicación y confirmar que Flowable crea su esquema (tablas </w:t>
      </w:r>
      <w:r w:rsidDel="00000000" w:rsidR="00000000" w:rsidRPr="00000000">
        <w:rPr>
          <w:rFonts w:ascii="Roboto Mono" w:cs="Roboto Mono" w:eastAsia="Roboto Mono" w:hAnsi="Roboto Mono"/>
          <w:color w:val="188038"/>
          <w:rtl w:val="0"/>
        </w:rPr>
        <w:t xml:space="preserve">ACT_*</w:t>
      </w:r>
      <w:r w:rsidDel="00000000" w:rsidR="00000000" w:rsidRPr="00000000">
        <w:rPr>
          <w:rtl w:val="0"/>
        </w:rPr>
        <w:t xml:space="preserve">) en </w:t>
      </w:r>
      <w:r w:rsidDel="00000000" w:rsidR="00000000" w:rsidRPr="00000000">
        <w:rPr>
          <w:b w:val="1"/>
          <w:bCs w:val="1"/>
          <w:rtl w:val="0"/>
        </w:rPr>
        <w:t xml:space="preserve">cada</w:t>
      </w:r>
      <w:r w:rsidDel="00000000" w:rsidR="00000000" w:rsidRPr="00000000">
        <w:rPr>
          <w:rtl w:val="0"/>
        </w:rPr>
        <w:t xml:space="preserve"> base de datos de tenant por separado, sin errores de compatibilidad con MySQL 8.4.</w:t>
      </w:r>
    </w:p>
    <w:p w:rsidR="00000000" w:rsidDel="00000000" w:rsidP="00000000" w:rsidRDefault="00000000" w:rsidRPr="00000000" w14:paraId="00000016">
      <w:pPr>
        <w:numPr>
          <w:ilvl w:val="0"/>
          <w:numId w:val="3"/>
        </w:numPr>
        <w:ind w:left="720" w:hanging="360"/>
      </w:pPr>
      <w:r w:rsidDel="00000000" w:rsidR="00000000" w:rsidRPr="00000000">
        <w:rPr>
          <w:rtl w:val="0"/>
        </w:rPr>
        <w:t xml:space="preserve">Iniciar un proceso BPMN de prueba bajo el tenant </w:t>
      </w:r>
      <w:r w:rsidDel="00000000" w:rsidR="00000000" w:rsidRPr="00000000">
        <w:rPr>
          <w:rFonts w:ascii="Roboto Mono" w:cs="Roboto Mono" w:eastAsia="Roboto Mono" w:hAnsi="Roboto Mono"/>
          <w:color w:val="188038"/>
          <w:rtl w:val="0"/>
        </w:rPr>
        <w:t xml:space="preserve">BPMPLUS</w:t>
      </w:r>
      <w:r w:rsidDel="00000000" w:rsidR="00000000" w:rsidRPr="00000000">
        <w:rPr>
          <w:rtl w:val="0"/>
        </w:rPr>
        <w:t xml:space="preserve"> y verificar que no sea visible ni accesible desde el contexto del tenant </w:t>
      </w:r>
      <w:r w:rsidDel="00000000" w:rsidR="00000000" w:rsidRPr="00000000">
        <w:rPr>
          <w:rFonts w:ascii="Roboto Mono" w:cs="Roboto Mono" w:eastAsia="Roboto Mono" w:hAnsi="Roboto Mono"/>
          <w:color w:val="188038"/>
          <w:rtl w:val="0"/>
        </w:rPr>
        <w:t xml:space="preserve">BPMPLUS_TEST</w:t>
      </w:r>
      <w:r w:rsidDel="00000000" w:rsidR="00000000" w:rsidRPr="00000000">
        <w:rPr>
          <w:rtl w:val="0"/>
        </w:rPr>
        <w:t xml:space="preserve"> (aislamiento real, no solo creación de tablas).</w:t>
      </w:r>
    </w:p>
    <w:p w:rsidR="00000000" w:rsidDel="00000000" w:rsidP="00000000" w:rsidRDefault="00000000" w:rsidRPr="00000000" w14:paraId="00000017">
      <w:pPr>
        <w:numPr>
          <w:ilvl w:val="0"/>
          <w:numId w:val="3"/>
        </w:numPr>
        <w:ind w:left="720" w:hanging="360"/>
      </w:pPr>
      <w:r w:rsidDel="00000000" w:rsidR="00000000" w:rsidRPr="00000000">
        <w:rPr>
          <w:rtl w:val="0"/>
        </w:rPr>
        <w:t xml:space="preserve">Escribir un test Spock que automatice esta verificación de aislamiento.</w:t>
      </w:r>
    </w:p>
    <w:p w:rsidR="00000000" w:rsidDel="00000000" w:rsidP="00000000" w:rsidRDefault="00000000" w:rsidRPr="00000000" w14:paraId="00000018">
      <w:pPr>
        <w:pStyle w:val="Heading3"/>
        <w:rPr/>
      </w:pPr>
      <w:bookmarkStart w:colFirst="0" w:colLast="0" w:name="_qatqd245euqs" w:id="7"/>
      <w:bookmarkEnd w:id="7"/>
      <w:r w:rsidDel="00000000" w:rsidR="00000000" w:rsidRPr="00000000">
        <w:rPr>
          <w:rtl w:val="0"/>
        </w:rPr>
        <w:t xml:space="preserve">Fase 1 — Integración con el </w:t>
      </w:r>
      <w:r w:rsidDel="00000000" w:rsidR="00000000" w:rsidRPr="00000000">
        <w:rPr>
          <w:rFonts w:ascii="Roboto Mono" w:cs="Roboto Mono" w:eastAsia="Roboto Mono" w:hAnsi="Roboto Mono"/>
          <w:color w:val="188038"/>
          <w:rtl w:val="0"/>
        </w:rPr>
        <w:t xml:space="preserve">TenantResolver</w:t>
      </w:r>
      <w:r w:rsidDel="00000000" w:rsidR="00000000" w:rsidRPr="00000000">
        <w:rPr>
          <w:rtl w:val="0"/>
        </w:rPr>
        <w:t xml:space="preserve"> existente</w:t>
      </w:r>
    </w:p>
    <w:p w:rsidR="00000000" w:rsidDel="00000000" w:rsidP="00000000" w:rsidRDefault="00000000" w:rsidRPr="00000000" w14:paraId="00000019">
      <w:pPr>
        <w:rPr/>
      </w:pPr>
      <w:r w:rsidDel="00000000" w:rsidR="00000000" w:rsidRPr="00000000">
        <w:rPr>
          <w:rtl w:val="0"/>
        </w:rPr>
        <w:t xml:space="preserve">Conectar la resolución del tenant activo de Flowable con el mismo </w:t>
      </w:r>
      <w:r w:rsidDel="00000000" w:rsidR="00000000" w:rsidRPr="00000000">
        <w:rPr>
          <w:rFonts w:ascii="Roboto Mono" w:cs="Roboto Mono" w:eastAsia="Roboto Mono" w:hAnsi="Roboto Mono"/>
          <w:color w:val="188038"/>
          <w:rtl w:val="0"/>
        </w:rPr>
        <w:t xml:space="preserve">TenantResolver</w:t>
      </w:r>
      <w:r w:rsidDel="00000000" w:rsidR="00000000" w:rsidRPr="00000000">
        <w:rPr>
          <w:rtl w:val="0"/>
        </w:rPr>
        <w:t xml:space="preserve"> que ya usa el resto de la aplicación (GORM), para evitar mantener dos mecanismos de resolución de tenant en paralelo.</w:t>
      </w:r>
    </w:p>
    <w:p w:rsidR="00000000" w:rsidDel="00000000" w:rsidP="00000000" w:rsidRDefault="00000000" w:rsidRPr="00000000" w14:paraId="0000001A">
      <w:pPr>
        <w:pStyle w:val="Heading3"/>
        <w:rPr/>
      </w:pPr>
      <w:bookmarkStart w:colFirst="0" w:colLast="0" w:name="_rc61czbryamz" w:id="8"/>
      <w:bookmarkEnd w:id="8"/>
      <w:r w:rsidDel="00000000" w:rsidR="00000000" w:rsidRPr="00000000">
        <w:rPr>
          <w:rtl w:val="0"/>
        </w:rPr>
        <w:t xml:space="preserve">Fase 2 — Decisión de arquitectura de despliegue</w:t>
      </w:r>
    </w:p>
    <w:p w:rsidR="00000000" w:rsidDel="00000000" w:rsidP="00000000" w:rsidRDefault="00000000" w:rsidRPr="00000000" w14:paraId="0000001B">
      <w:pPr>
        <w:rPr/>
      </w:pPr>
      <w:r w:rsidDel="00000000" w:rsidR="00000000" w:rsidRPr="00000000">
        <w:rPr>
          <w:rtl w:val="0"/>
        </w:rPr>
        <w:t xml:space="preserve">Confirmar que Flowable corre embebido dentro del mismo proceso de BPMPLUS (recomendado, dado que comparte JVM, transacciones y el modelo de tenant con el resto de la app).</w:t>
      </w:r>
    </w:p>
    <w:p w:rsidR="00000000" w:rsidDel="00000000" w:rsidP="00000000" w:rsidRDefault="00000000" w:rsidRPr="00000000" w14:paraId="0000001C">
      <w:pPr>
        <w:pStyle w:val="Heading3"/>
        <w:rPr/>
      </w:pPr>
      <w:bookmarkStart w:colFirst="0" w:colLast="0" w:name="_svf3nfbod5mn" w:id="9"/>
      <w:bookmarkEnd w:id="9"/>
      <w:r w:rsidDel="00000000" w:rsidR="00000000" w:rsidRPr="00000000">
        <w:rPr>
          <w:rtl w:val="0"/>
        </w:rPr>
        <w:t xml:space="preserve">Fase 3 — Herramienta de diseño de procesos BPMN</w:t>
      </w:r>
    </w:p>
    <w:p w:rsidR="00000000" w:rsidDel="00000000" w:rsidP="00000000" w:rsidRDefault="00000000" w:rsidRPr="00000000" w14:paraId="0000001D">
      <w:pPr>
        <w:rPr/>
      </w:pPr>
      <w:r w:rsidDel="00000000" w:rsidR="00000000" w:rsidRPr="00000000">
        <w:rPr>
          <w:rtl w:val="0"/>
        </w:rPr>
        <w:t xml:space="preserve">Definir la herramienta externa de modelado (ya que Flowable 7 eliminó las apps de Flowable UI/Modeler de la versión open source) y la convención de dónde viven los archivos </w:t>
      </w:r>
      <w:r w:rsidDel="00000000" w:rsidR="00000000" w:rsidRPr="00000000">
        <w:rPr>
          <w:rFonts w:ascii="Roboto Mono" w:cs="Roboto Mono" w:eastAsia="Roboto Mono" w:hAnsi="Roboto Mono"/>
          <w:color w:val="188038"/>
          <w:rtl w:val="0"/>
        </w:rPr>
        <w:t xml:space="preserve">.bpmn20.xml</w:t>
      </w:r>
      <w:r w:rsidDel="00000000" w:rsidR="00000000" w:rsidRPr="00000000">
        <w:rPr>
          <w:rtl w:val="0"/>
        </w:rPr>
        <w:t xml:space="preserve"> en el proyecto.</w:t>
      </w:r>
    </w:p>
    <w:p w:rsidR="00000000" w:rsidDel="00000000" w:rsidP="00000000" w:rsidRDefault="00000000" w:rsidRPr="00000000" w14:paraId="0000001E">
      <w:pPr>
        <w:pStyle w:val="Heading3"/>
        <w:rPr/>
      </w:pPr>
      <w:bookmarkStart w:colFirst="0" w:colLast="0" w:name="_c5v630i1l1dc" w:id="10"/>
      <w:bookmarkEnd w:id="10"/>
      <w:r w:rsidDel="00000000" w:rsidR="00000000" w:rsidRPr="00000000">
        <w:rPr>
          <w:rtl w:val="0"/>
        </w:rPr>
        <w:t xml:space="preserve">Fase 4 — Integración con la lógica de negocio</w:t>
      </w:r>
    </w:p>
    <w:p w:rsidR="00000000" w:rsidDel="00000000" w:rsidP="00000000" w:rsidRDefault="00000000" w:rsidRPr="00000000" w14:paraId="0000001F">
      <w:pPr>
        <w:rPr/>
      </w:pPr>
      <w:r w:rsidDel="00000000" w:rsidR="00000000" w:rsidRPr="00000000">
        <w:rPr>
          <w:rtl w:val="0"/>
        </w:rPr>
        <w:t xml:space="preserve">Conectar las tareas de servicio del proceso con los dominios/servicios Groovy ya existentes en </w:t>
      </w:r>
      <w:r w:rsidDel="00000000" w:rsidR="00000000" w:rsidRPr="00000000">
        <w:rPr>
          <w:rFonts w:ascii="Roboto Mono" w:cs="Roboto Mono" w:eastAsia="Roboto Mono" w:hAnsi="Roboto Mono"/>
          <w:color w:val="188038"/>
          <w:rtl w:val="0"/>
        </w:rPr>
        <w:t xml:space="preserve">proyecto001</w:t>
      </w:r>
      <w:r w:rsidDel="00000000" w:rsidR="00000000" w:rsidRPr="00000000">
        <w:rPr>
          <w:rtl w:val="0"/>
        </w:rPr>
        <w:t xml:space="preserve">.</w:t>
      </w:r>
    </w:p>
    <w:p w:rsidR="00000000" w:rsidDel="00000000" w:rsidP="00000000" w:rsidRDefault="00000000" w:rsidRPr="00000000" w14:paraId="00000020">
      <w:pPr>
        <w:pStyle w:val="Heading3"/>
        <w:rPr/>
      </w:pPr>
      <w:bookmarkStart w:colFirst="0" w:colLast="0" w:name="_c65ad876zwf0" w:id="11"/>
      <w:bookmarkEnd w:id="11"/>
      <w:r w:rsidDel="00000000" w:rsidR="00000000" w:rsidRPr="00000000">
        <w:rPr>
          <w:rtl w:val="0"/>
        </w:rPr>
        <w:t xml:space="preserve">Fase 5 — Pruebas</w:t>
      </w:r>
    </w:p>
    <w:p w:rsidR="00000000" w:rsidDel="00000000" w:rsidP="00000000" w:rsidRDefault="00000000" w:rsidRPr="00000000" w14:paraId="00000021">
      <w:pPr>
        <w:rPr/>
      </w:pPr>
      <w:r w:rsidDel="00000000" w:rsidR="00000000" w:rsidRPr="00000000">
        <w:rPr>
          <w:rtl w:val="0"/>
        </w:rPr>
        <w:t xml:space="preserve">Suite Spock que cubra el ciclo de vida completo de un proceso de prueba, incluyendo la verificación explícita de aislamiento entre tenants.</w:t>
      </w:r>
    </w:p>
    <w:p w:rsidR="00000000" w:rsidDel="00000000" w:rsidP="00000000" w:rsidRDefault="00000000" w:rsidRPr="00000000" w14:paraId="00000022">
      <w:pPr>
        <w:pStyle w:val="Heading3"/>
        <w:rPr/>
      </w:pPr>
      <w:bookmarkStart w:colFirst="0" w:colLast="0" w:name="_ebeatdyxj7fk" w:id="12"/>
      <w:bookmarkEnd w:id="12"/>
      <w:r w:rsidDel="00000000" w:rsidR="00000000" w:rsidRPr="00000000">
        <w:rPr>
          <w:rtl w:val="0"/>
        </w:rPr>
        <w:t xml:space="preserve">Fase 6 — Despliegue</w:t>
      </w:r>
    </w:p>
    <w:p w:rsidR="00000000" w:rsidDel="00000000" w:rsidP="00000000" w:rsidRDefault="00000000" w:rsidRPr="00000000" w14:paraId="00000023">
      <w:pPr>
        <w:rPr/>
      </w:pPr>
      <w:r w:rsidDel="00000000" w:rsidR="00000000" w:rsidRPr="00000000">
        <w:rPr>
          <w:rtl w:val="0"/>
        </w:rPr>
        <w:t xml:space="preserve">Empaquetar junto con el resto de BPMPLUS en Docker, con la creación de esquema de Flowable gestionada de forma consistente con las migraciones Liquibase ya definidas para el resto del proyecto.</w:t>
      </w:r>
    </w:p>
    <w:p w:rsidR="00000000" w:rsidDel="00000000" w:rsidP="00000000" w:rsidRDefault="00000000" w:rsidRPr="00000000" w14:paraId="00000024">
      <w:pPr>
        <w:pStyle w:val="Heading2"/>
        <w:rPr/>
      </w:pPr>
      <w:bookmarkStart w:colFirst="0" w:colLast="0" w:name="_smzmkb7wqu3c" w:id="13"/>
      <w:bookmarkEnd w:id="13"/>
      <w:r w:rsidDel="00000000" w:rsidR="00000000" w:rsidRPr="00000000">
        <w:rPr>
          <w:rtl w:val="0"/>
        </w:rPr>
        <w:t xml:space="preserve">Prompt de referencia — Fase 0 (para Claude Code)</w:t>
      </w:r>
    </w:p>
    <w:p w:rsidR="00000000" w:rsidDel="00000000" w:rsidP="00000000" w:rsidRDefault="00000000" w:rsidRPr="00000000" w14:paraId="00000025">
      <w:pPr>
        <w:rPr/>
      </w:pPr>
      <w:r w:rsidDel="00000000" w:rsidR="00000000" w:rsidRPr="00000000">
        <w:rPr>
          <w:rtl w:val="0"/>
        </w:rPr>
        <w:t xml:space="preserve">Contexto: proyecto001 (base de BPMPLUS) ya tiene multi-tenancy implementado</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7">
      <w:pPr>
        <w:rPr/>
      </w:pPr>
      <w:r w:rsidDel="00000000" w:rsidR="00000000" w:rsidRPr="00000000">
        <w:rPr>
          <w:rtl w:val="0"/>
        </w:rPr>
        <w:t xml:space="preserve">por base de datos independiente (GORM Database-per-Tenant) y Spring Security</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9">
      <w:pPr>
        <w:rPr/>
      </w:pPr>
      <w:r w:rsidDel="00000000" w:rsidR="00000000" w:rsidRPr="00000000">
        <w:rPr>
          <w:rtl w:val="0"/>
        </w:rPr>
        <w:t xml:space="preserve">con resolución de tenant vía TenantResolver. Ya existen las bases de datos</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B">
      <w:pPr>
        <w:rPr/>
      </w:pPr>
      <w:r w:rsidDel="00000000" w:rsidR="00000000" w:rsidRPr="00000000">
        <w:rPr>
          <w:rtl w:val="0"/>
        </w:rPr>
        <w:t xml:space="preserve">BPMPLUS y BPMPLUS_TEST en MySQL, configuradas como datasources de tenant.</w:t>
      </w:r>
    </w:p>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rPr/>
      </w:pPr>
      <w:r w:rsidDel="00000000" w:rsidR="00000000" w:rsidRPr="00000000">
        <w:rPr>
          <w:rtl w:val="0"/>
        </w:rPr>
        <w:t xml:space="preserve">Objetivo de este spike: incorporar el motor Flowable (BPM open source,</w:t>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F">
      <w:pPr>
        <w:rPr/>
      </w:pPr>
      <w:r w:rsidDel="00000000" w:rsidR="00000000" w:rsidRPr="00000000">
        <w:rPr>
          <w:rtl w:val="0"/>
        </w:rPr>
        <w:t xml:space="preserve">versión 7.x) usando SU PROPIO mecanismo nativo de multi-tenancy por esquema</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1">
      <w:pPr>
        <w:rPr/>
      </w:pPr>
      <w:r w:rsidDel="00000000" w:rsidR="00000000" w:rsidRPr="00000000">
        <w:rPr>
          <w:rtl w:val="0"/>
        </w:rPr>
        <w:t xml:space="preserve">(MultiSchemaMultiTenantProcessEngineConfiguration), NO el starter de</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3">
      <w:pPr>
        <w:rPr/>
      </w:pPr>
      <w:r w:rsidDel="00000000" w:rsidR="00000000" w:rsidRPr="00000000">
        <w:rPr>
          <w:rtl w:val="0"/>
        </w:rPr>
        <w:t xml:space="preserve">auto-configuración de Spring Boot (flowable-spring-boot-starter), porque</w:t>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5">
      <w:pPr>
        <w:rPr/>
      </w:pPr>
      <w:r w:rsidDel="00000000" w:rsidR="00000000" w:rsidRPr="00000000">
        <w:rPr>
          <w:rtl w:val="0"/>
        </w:rPr>
        <w:t xml:space="preserve">ese asume un único datasource y no encaja con nuestro modelo de base de</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7">
      <w:pPr>
        <w:rPr/>
      </w:pPr>
      <w:r w:rsidDel="00000000" w:rsidR="00000000" w:rsidRPr="00000000">
        <w:rPr>
          <w:rtl w:val="0"/>
        </w:rPr>
        <w:t xml:space="preserve">datos independiente por cliente.</w:t>
      </w:r>
    </w:p>
    <w:p w:rsidR="00000000" w:rsidDel="00000000" w:rsidP="00000000" w:rsidRDefault="00000000" w:rsidRPr="00000000" w14:paraId="00000038">
      <w:pPr>
        <w:rPr/>
      </w:pPr>
      <w:r w:rsidDel="00000000" w:rsidR="00000000" w:rsidRPr="00000000">
        <w:rPr>
          <w:rtl w:val="0"/>
        </w:rPr>
      </w:r>
    </w:p>
    <w:p w:rsidR="00000000" w:rsidDel="00000000" w:rsidP="00000000" w:rsidRDefault="00000000" w:rsidRPr="00000000" w14:paraId="00000039">
      <w:pPr>
        <w:rPr/>
      </w:pPr>
      <w:r w:rsidDel="00000000" w:rsidR="00000000" w:rsidRPr="00000000">
        <w:rPr>
          <w:rtl w:val="0"/>
        </w:rPr>
        <w:t xml:space="preserve">Tareas:</w:t>
      </w:r>
    </w:p>
    <w:p w:rsidR="00000000" w:rsidDel="00000000" w:rsidP="00000000" w:rsidRDefault="00000000" w:rsidRPr="00000000" w14:paraId="0000003A">
      <w:pPr>
        <w:rPr/>
      </w:pPr>
      <w:r w:rsidDel="00000000" w:rsidR="00000000" w:rsidRPr="00000000">
        <w:rPr>
          <w:rtl w:val="0"/>
        </w:rPr>
      </w:r>
    </w:p>
    <w:p w:rsidR="00000000" w:rsidDel="00000000" w:rsidP="00000000" w:rsidRDefault="00000000" w:rsidRPr="00000000" w14:paraId="0000003B">
      <w:pPr>
        <w:rPr/>
      </w:pPr>
      <w:r w:rsidDel="00000000" w:rsidR="00000000" w:rsidRPr="00000000">
        <w:rPr>
          <w:rtl w:val="0"/>
        </w:rPr>
        <w:t xml:space="preserve">1. Agregá la dependencia `org.flowable:flowable-engine` en build.gradle</w:t>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D">
      <w:pPr>
        <w:rPr/>
      </w:pPr>
      <w:r w:rsidDel="00000000" w:rsidR="00000000" w:rsidRPr="00000000">
        <w:rPr>
          <w:rtl w:val="0"/>
        </w:rPr>
        <w:t xml:space="preserve">   (dependencias de la app, no del buildscript). Verificá que la versión</w:t>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F">
      <w:pPr>
        <w:rPr/>
      </w:pPr>
      <w:r w:rsidDel="00000000" w:rsidR="00000000" w:rsidRPr="00000000">
        <w:rPr>
          <w:rtl w:val="0"/>
        </w:rPr>
        <w:t xml:space="preserve">   sea 7.x y compatible con Spring Boot 3.5.16 / Java 17.</w:t>
      </w:r>
    </w:p>
    <w:p w:rsidR="00000000" w:rsidDel="00000000" w:rsidP="00000000" w:rsidRDefault="00000000" w:rsidRPr="00000000" w14:paraId="00000040">
      <w:pPr>
        <w:rPr/>
      </w:pPr>
      <w:r w:rsidDel="00000000" w:rsidR="00000000" w:rsidRPr="00000000">
        <w:rPr>
          <w:rtl w:val="0"/>
        </w:rPr>
      </w:r>
    </w:p>
    <w:p w:rsidR="00000000" w:rsidDel="00000000" w:rsidP="00000000" w:rsidRDefault="00000000" w:rsidRPr="00000000" w14:paraId="00000041">
      <w:pPr>
        <w:rPr/>
      </w:pPr>
      <w:r w:rsidDel="00000000" w:rsidR="00000000" w:rsidRPr="00000000">
        <w:rPr>
          <w:rtl w:val="0"/>
        </w:rPr>
        <w:t xml:space="preserve">2. Configurá un bean de MultiSchemaMultiTenantProcessEngineConfiguration</w:t>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3">
      <w:pPr>
        <w:rPr/>
      </w:pPr>
      <w:r w:rsidDel="00000000" w:rsidR="00000000" w:rsidRPr="00000000">
        <w:rPr>
          <w:rtl w:val="0"/>
        </w:rPr>
        <w:t xml:space="preserve">   y registrá BPMPLUS y BPMPLUS_TEST como tenants de prueba usando</w:t>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5">
      <w:pPr>
        <w:rPr/>
      </w:pPr>
      <w:r w:rsidDel="00000000" w:rsidR="00000000" w:rsidRPr="00000000">
        <w:rPr>
          <w:rtl w:val="0"/>
        </w:rPr>
        <w:t xml:space="preserve">   registerTenant(tenantId, dataSource), reutilizando los mismos</w:t>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7">
      <w:pPr>
        <w:rPr/>
      </w:pPr>
      <w:r w:rsidDel="00000000" w:rsidR="00000000" w:rsidRPr="00000000">
        <w:rPr>
          <w:rtl w:val="0"/>
        </w:rPr>
        <w:t xml:space="preserve">   datasources que ya están definidos para el multi-tenancy de GORM</w:t>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9">
      <w:pPr>
        <w:rPr/>
      </w:pPr>
      <w:r w:rsidDel="00000000" w:rsidR="00000000" w:rsidRPr="00000000">
        <w:rPr>
          <w:rtl w:val="0"/>
        </w:rPr>
        <w:t xml:space="preserve">   (no crees datasources nuevos ni duplicados).</w:t>
      </w:r>
    </w:p>
    <w:p w:rsidR="00000000" w:rsidDel="00000000" w:rsidP="00000000" w:rsidRDefault="00000000" w:rsidRPr="00000000" w14:paraId="0000004A">
      <w:pPr>
        <w:rPr/>
      </w:pPr>
      <w:r w:rsidDel="00000000" w:rsidR="00000000" w:rsidRPr="00000000">
        <w:rPr>
          <w:rtl w:val="0"/>
        </w:rPr>
      </w:r>
    </w:p>
    <w:p w:rsidR="00000000" w:rsidDel="00000000" w:rsidP="00000000" w:rsidRDefault="00000000" w:rsidRPr="00000000" w14:paraId="0000004B">
      <w:pPr>
        <w:rPr/>
      </w:pPr>
      <w:r w:rsidDel="00000000" w:rsidR="00000000" w:rsidRPr="00000000">
        <w:rPr>
          <w:rtl w:val="0"/>
        </w:rPr>
        <w:t xml:space="preserve">3. Conectá la resolución del tenant activo de Flowable con el mismo</w:t>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D">
      <w:pPr>
        <w:rPr/>
      </w:pPr>
      <w:r w:rsidDel="00000000" w:rsidR="00000000" w:rsidRPr="00000000">
        <w:rPr>
          <w:rtl w:val="0"/>
        </w:rPr>
        <w:t xml:space="preserve">   TenantResolver que ya usa el resto de la aplicación, para que no</w:t>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F">
      <w:pPr>
        <w:rPr/>
      </w:pPr>
      <w:r w:rsidDel="00000000" w:rsidR="00000000" w:rsidRPr="00000000">
        <w:rPr>
          <w:rtl w:val="0"/>
        </w:rPr>
        <w:t xml:space="preserve">   existan dos mecanismos de resolución de tenant en paralelo.</w:t>
      </w:r>
    </w:p>
    <w:p w:rsidR="00000000" w:rsidDel="00000000" w:rsidP="00000000" w:rsidRDefault="00000000" w:rsidRPr="00000000" w14:paraId="00000050">
      <w:pPr>
        <w:rPr/>
      </w:pPr>
      <w:r w:rsidDel="00000000" w:rsidR="00000000" w:rsidRPr="00000000">
        <w:rPr>
          <w:rtl w:val="0"/>
        </w:rPr>
      </w:r>
    </w:p>
    <w:p w:rsidR="00000000" w:rsidDel="00000000" w:rsidP="00000000" w:rsidRDefault="00000000" w:rsidRPr="00000000" w14:paraId="00000051">
      <w:pPr>
        <w:rPr/>
      </w:pPr>
      <w:r w:rsidDel="00000000" w:rsidR="00000000" w:rsidRPr="00000000">
        <w:rPr>
          <w:rtl w:val="0"/>
        </w:rPr>
        <w:t xml:space="preserve">4. Arrancá la aplicación y confirmá:</w:t>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3">
      <w:pPr>
        <w:rPr/>
      </w:pPr>
      <w:r w:rsidDel="00000000" w:rsidR="00000000" w:rsidRPr="00000000">
        <w:rPr>
          <w:rtl w:val="0"/>
        </w:rPr>
        <w:t xml:space="preserve">   a. Que Flowable creó su propio esquema (tablas ACT_*) en CADA base</w:t>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5">
      <w:pPr>
        <w:rPr/>
      </w:pPr>
      <w:r w:rsidDel="00000000" w:rsidR="00000000" w:rsidRPr="00000000">
        <w:rPr>
          <w:rtl w:val="0"/>
        </w:rPr>
        <w:t xml:space="preserve">      (BPMPLUS y BPMPLUS_TEST) por separado.</w:t>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7">
      <w:pPr>
        <w:rPr/>
      </w:pPr>
      <w:r w:rsidDel="00000000" w:rsidR="00000000" w:rsidRPr="00000000">
        <w:rPr>
          <w:rtl w:val="0"/>
        </w:rPr>
        <w:t xml:space="preserve">   b. Que no hay errores de compatibilidad con MySQL 8.4.</w:t>
      </w:r>
    </w:p>
    <w:p w:rsidR="00000000" w:rsidDel="00000000" w:rsidP="00000000" w:rsidRDefault="00000000" w:rsidRPr="00000000" w14:paraId="00000058">
      <w:pPr>
        <w:rPr/>
      </w:pPr>
      <w:r w:rsidDel="00000000" w:rsidR="00000000" w:rsidRPr="00000000">
        <w:rPr>
          <w:rtl w:val="0"/>
        </w:rPr>
      </w:r>
    </w:p>
    <w:p w:rsidR="00000000" w:rsidDel="00000000" w:rsidP="00000000" w:rsidRDefault="00000000" w:rsidRPr="00000000" w14:paraId="00000059">
      <w:pPr>
        <w:rPr/>
      </w:pPr>
      <w:r w:rsidDel="00000000" w:rsidR="00000000" w:rsidRPr="00000000">
        <w:rPr>
          <w:rtl w:val="0"/>
        </w:rPr>
        <w:t xml:space="preserve">5. Escribí un test Spock que inicie un proceso BPMN de prueba bajo el</w:t>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B">
      <w:pPr>
        <w:rPr/>
      </w:pPr>
      <w:r w:rsidDel="00000000" w:rsidR="00000000" w:rsidRPr="00000000">
        <w:rPr>
          <w:rtl w:val="0"/>
        </w:rPr>
        <w:t xml:space="preserve">   tenant BPMPLUS y verifique que NO sea visible ni accesible desde el</w:t>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D">
      <w:pPr>
        <w:rPr/>
      </w:pPr>
      <w:r w:rsidDel="00000000" w:rsidR="00000000" w:rsidRPr="00000000">
        <w:rPr>
          <w:rtl w:val="0"/>
        </w:rPr>
        <w:t xml:space="preserve">   contexto del tenant BPMPLUS_TEST (aislamiento real, no solo</w:t>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F">
      <w:pPr>
        <w:rPr/>
      </w:pPr>
      <w:r w:rsidDel="00000000" w:rsidR="00000000" w:rsidRPr="00000000">
        <w:rPr>
          <w:rtl w:val="0"/>
        </w:rPr>
        <w:t xml:space="preserve">   creación de tablas).</w:t>
      </w:r>
    </w:p>
    <w:p w:rsidR="00000000" w:rsidDel="00000000" w:rsidP="00000000" w:rsidRDefault="00000000" w:rsidRPr="00000000" w14:paraId="00000060">
      <w:pPr>
        <w:rPr/>
      </w:pPr>
      <w:r w:rsidDel="00000000" w:rsidR="00000000" w:rsidRPr="00000000">
        <w:rPr>
          <w:rtl w:val="0"/>
        </w:rPr>
      </w:r>
    </w:p>
    <w:p w:rsidR="00000000" w:rsidDel="00000000" w:rsidP="00000000" w:rsidRDefault="00000000" w:rsidRPr="00000000" w14:paraId="00000061">
      <w:pPr>
        <w:rPr/>
      </w:pPr>
      <w:r w:rsidDel="00000000" w:rsidR="00000000" w:rsidRPr="00000000">
        <w:rPr>
          <w:rtl w:val="0"/>
        </w:rPr>
        <w:t xml:space="preserve">No avances a integrar lógica de negocio ni a elegir herramienta de</w:t>
      </w:r>
    </w:p>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3">
      <w:pPr>
        <w:rPr/>
      </w:pPr>
      <w:r w:rsidDel="00000000" w:rsidR="00000000" w:rsidRPr="00000000">
        <w:rPr>
          <w:rtl w:val="0"/>
        </w:rPr>
        <w:t xml:space="preserve">modelado BPMN todavía — este spike es solo para validar que el</w:t>
      </w:r>
    </w:p>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5">
      <w:pPr>
        <w:rPr/>
      </w:pPr>
      <w:r w:rsidDel="00000000" w:rsidR="00000000" w:rsidRPr="00000000">
        <w:rPr>
          <w:rtl w:val="0"/>
        </w:rPr>
        <w:t xml:space="preserve">aislamiento multi-tenant de Flowable funciona correctamente sobre</w:t>
      </w:r>
    </w:p>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7">
      <w:pPr>
        <w:rPr/>
      </w:pPr>
      <w:r w:rsidDel="00000000" w:rsidR="00000000" w:rsidRPr="00000000">
        <w:rPr>
          <w:rtl w:val="0"/>
        </w:rPr>
        <w:t xml:space="preserve">nuestra arquitectura existente. Mostrame los resultados antes de seguir.</w:t>
      </w:r>
    </w:p>
    <w:p w:rsidR="00000000" w:rsidDel="00000000" w:rsidP="00000000" w:rsidRDefault="00000000" w:rsidRPr="00000000" w14:paraId="00000068">
      <w:pPr>
        <w:pStyle w:val="Heading2"/>
        <w:rPr/>
      </w:pPr>
      <w:bookmarkStart w:colFirst="0" w:colLast="0" w:name="_u6quy6rxvc65" w:id="14"/>
      <w:bookmarkEnd w:id="14"/>
      <w:r w:rsidDel="00000000" w:rsidR="00000000" w:rsidRPr="00000000">
        <w:rPr>
          <w:rtl w:val="0"/>
        </w:rPr>
        <w:t xml:space="preserve">Fuentes</w:t>
      </w:r>
    </w:p>
    <w:p w:rsidR="00000000" w:rsidDel="00000000" w:rsidP="00000000" w:rsidRDefault="00000000" w:rsidRPr="00000000" w14:paraId="00000069">
      <w:pPr>
        <w:numPr>
          <w:ilvl w:val="0"/>
          <w:numId w:val="1"/>
        </w:numPr>
        <w:ind w:left="720" w:hanging="360"/>
      </w:pPr>
      <w:hyperlink r:id="rId7">
        <w:r w:rsidDel="00000000" w:rsidR="00000000" w:rsidRPr="00000000">
          <w:rPr>
            <w:color w:val="1155cc"/>
            <w:u w:val="single"/>
            <w:rtl w:val="0"/>
          </w:rPr>
          <w:t xml:space="preserve">Flowable Open Source 7.0.0 Release</w:t>
        </w:r>
      </w:hyperlink>
      <w:r w:rsidDel="00000000" w:rsidR="00000000" w:rsidRPr="00000000">
        <w:rPr>
          <w:rtl w:val="0"/>
        </w:rPr>
      </w:r>
    </w:p>
    <w:p w:rsidR="00000000" w:rsidDel="00000000" w:rsidP="00000000" w:rsidRDefault="00000000" w:rsidRPr="00000000" w14:paraId="0000006A">
      <w:pPr>
        <w:numPr>
          <w:ilvl w:val="0"/>
          <w:numId w:val="1"/>
        </w:numPr>
        <w:ind w:left="720" w:hanging="360"/>
      </w:pPr>
      <w:hyperlink r:id="rId8">
        <w:r w:rsidDel="00000000" w:rsidR="00000000" w:rsidRPr="00000000">
          <w:rPr>
            <w:color w:val="1155cc"/>
            <w:u w:val="single"/>
            <w:rtl w:val="0"/>
          </w:rPr>
          <w:t xml:space="preserve">Flowable System Requirements</w:t>
        </w:r>
      </w:hyperlink>
      <w:r w:rsidDel="00000000" w:rsidR="00000000" w:rsidRPr="00000000">
        <w:rPr>
          <w:rtl w:val="0"/>
        </w:rPr>
      </w:r>
    </w:p>
    <w:p w:rsidR="00000000" w:rsidDel="00000000" w:rsidP="00000000" w:rsidRDefault="00000000" w:rsidRPr="00000000" w14:paraId="0000006B">
      <w:pPr>
        <w:numPr>
          <w:ilvl w:val="0"/>
          <w:numId w:val="1"/>
        </w:numPr>
        <w:ind w:left="720" w:hanging="360"/>
      </w:pPr>
      <w:hyperlink r:id="rId9">
        <w:r w:rsidDel="00000000" w:rsidR="00000000" w:rsidRPr="00000000">
          <w:rPr>
            <w:color w:val="1155cc"/>
            <w:u w:val="single"/>
            <w:rtl w:val="0"/>
          </w:rPr>
          <w:t xml:space="preserve">Flowable Spring Boot Integration Docs</w:t>
        </w:r>
      </w:hyperlink>
      <w:r w:rsidDel="00000000" w:rsidR="00000000" w:rsidRPr="00000000">
        <w:rPr>
          <w:rtl w:val="0"/>
        </w:rPr>
      </w:r>
    </w:p>
    <w:p w:rsidR="00000000" w:rsidDel="00000000" w:rsidP="00000000" w:rsidRDefault="00000000" w:rsidRPr="00000000" w14:paraId="0000006C">
      <w:pPr>
        <w:numPr>
          <w:ilvl w:val="0"/>
          <w:numId w:val="1"/>
        </w:numPr>
        <w:ind w:left="720" w:hanging="360"/>
      </w:pPr>
      <w:hyperlink r:id="rId10">
        <w:r w:rsidDel="00000000" w:rsidR="00000000" w:rsidRPr="00000000">
          <w:rPr>
            <w:color w:val="1155cc"/>
            <w:u w:val="single"/>
            <w:rtl w:val="0"/>
          </w:rPr>
          <w:t xml:space="preserve">MultiSchemaMultiTenantProcessEngineConfiguration — código fuente</w:t>
        </w:r>
      </w:hyperlink>
      <w:r w:rsidDel="00000000" w:rsidR="00000000" w:rsidRPr="00000000">
        <w:rPr>
          <w:rtl w:val="0"/>
        </w:rPr>
      </w:r>
    </w:p>
    <w:p w:rsidR="00000000" w:rsidDel="00000000" w:rsidP="00000000" w:rsidRDefault="00000000" w:rsidRPr="00000000" w14:paraId="0000006D">
      <w:pPr>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hyperlink" Target="https://github.com/flowable/flowable-engine/blob/main/modules/flowable-engine/src/main/java/org/flowable/engine/impl/cfg/multitenant/MultiSchemaMultiTenantProcessEngineConfiguration.java" TargetMode="External"/><Relationship Id="rId9" Type="http://schemas.openxmlformats.org/officeDocument/2006/relationships/hyperlink" Target="https://www.flowable.com/open-source/docs/bpmn/ch05a-Spring-Boot/" TargetMode="External"/><Relationship Id="rId5" Type="http://schemas.openxmlformats.org/officeDocument/2006/relationships/styles" Target="styles.xml"/><Relationship Id="rId6" Type="http://schemas.openxmlformats.org/officeDocument/2006/relationships/hyperlink" Target="https://www.flowable.com/open-source" TargetMode="External"/><Relationship Id="rId7" Type="http://schemas.openxmlformats.org/officeDocument/2006/relationships/hyperlink" Target="https://www.flowable.com/blog/releases/flowable-open-source-7-0-0-release" TargetMode="External"/><Relationship Id="rId8" Type="http://schemas.openxmlformats.org/officeDocument/2006/relationships/hyperlink" Target="https://documentation.flowable.com/latest/admin/installs/system-requirements"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