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st8uidbcvv3" w:id="0"/>
      <w:bookmarkEnd w:id="0"/>
      <w:r w:rsidDel="00000000" w:rsidR="00000000" w:rsidRPr="00000000">
        <w:rPr>
          <w:rtl w:val="0"/>
        </w:rPr>
        <w:t xml:space="preserve">Barras de navegación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Una barra de navegación necesita HTML estándar como base.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Una barra de navegación es básicamente una lista de enlaces, por lo que usar los elementos &lt;ul&gt; y &lt;li&gt; tiene mucho sentido: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c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c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="index.html"&gt;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c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="nosotros.html"&gt;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Nosotros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c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="contacto.html"&gt;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Productos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c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 href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="about.html"&gt;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Contacto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/li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rtl w:val="0"/>
              </w:rPr>
              <w:t xml:space="preserve">/ul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Ahora vamos a eliminar los puntos, los márgenes y el relleno de la lista: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ul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list-style-type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none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0000cd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List-style-type:</w:t>
      </w:r>
      <w:r w:rsidDel="00000000" w:rsidR="00000000" w:rsidRPr="00000000">
        <w:rPr>
          <w:rtl w:val="0"/>
        </w:rPr>
        <w:t xml:space="preserve"> Elimina los puntos. Una barra de navegación no necesita marcadores de lista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También se elimina el margin y el padding.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contextualSpacing w:val="0"/>
        <w:rPr/>
      </w:pPr>
      <w:bookmarkStart w:colFirst="0" w:colLast="0" w:name="_mhmlonlygn7u" w:id="1"/>
      <w:bookmarkEnd w:id="1"/>
      <w:r w:rsidDel="00000000" w:rsidR="00000000" w:rsidRPr="00000000">
        <w:rPr>
          <w:rtl w:val="0"/>
        </w:rPr>
        <w:t xml:space="preserve">Barra de navegación vertical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Para crear una barra de navegación vertical, puede diseñar los elementos &lt;a&gt; dentro de la lista, además del código anterior: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li a 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block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60px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contextualSpacing w:val="0"/>
        <w:rPr/>
      </w:pPr>
      <w:bookmarkStart w:colFirst="0" w:colLast="0" w:name="_q831t5vjylnd" w:id="2"/>
      <w:bookmarkEnd w:id="2"/>
      <w:r w:rsidDel="00000000" w:rsidR="00000000" w:rsidRPr="00000000">
        <w:rPr>
          <w:rtl w:val="0"/>
        </w:rPr>
        <w:t xml:space="preserve">Barra de navegación horizontal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Crear una barra de navegación horizontal básica con un color de fondo oscuro y cambiar el color de fondo de los enlaces cuando el usuario mueve el ratón sobre ellos: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ul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list-style-type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none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overflow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hidden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#333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li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left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li a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block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white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center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14px 16px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text-decoration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none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li a:hover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#111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