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Arial" w:cs="Arial" w:eastAsia="Arial" w:hAnsi="Arial"/>
          <w:b/>
          <w:bCs/>
          <w:sz w:val="28"/>
          <w:szCs w:val="28"/>
        </w:rPr>
        <w:t xml:space="preserve">UNIVERSIDAD NACIONAL AUTÓNOMA DE MÉXICO</w:t>
      </w:r>
    </w:p>
    <w:p>
      <w:pPr>
        <w:spacing w:after="120" w:before="0" w:line="360"/>
        <w:jc w:val="center"/>
      </w:pPr>
      <w:r>
        <w:rPr>
          <w:rFonts w:ascii="Arial" w:cs="Arial" w:eastAsia="Arial" w:hAnsi="Arial"/>
          <w:b/>
          <w:bCs/>
          <w:sz w:val="26"/>
          <w:szCs w:val="26"/>
        </w:rPr>
        <w:t xml:space="preserve">FACULTAD DE CONTADURÍA Y ADMINISTRACIÓN</w:t>
      </w:r>
    </w:p>
    <w:p>
      <w:pPr>
        <w:spacing w:after="900" w:before="0" w:line="360"/>
        <w:jc w:val="center"/>
      </w:pPr>
      <w:r>
        <w:rPr>
          <w:rFonts w:ascii="Arial" w:cs="Arial" w:eastAsia="Arial" w:hAnsi="Arial"/>
          <w:sz w:val="24"/>
          <w:szCs w:val="24"/>
        </w:rPr>
        <w:t xml:space="preserve">Licenciatura en Informática · SUAyED, modalidad a distancia</w:t>
      </w:r>
    </w:p>
    <w:p>
      <w:pPr>
        <w:spacing w:after="600" w:before="0" w:line="360"/>
        <w:jc w:val="center"/>
      </w:pPr>
      <w:r>
        <w:rPr>
          <w:rFonts w:ascii="Arial" w:cs="Arial" w:eastAsia="Arial" w:hAnsi="Arial"/>
          <w:b/>
          <w:bCs/>
          <w:sz w:val="32"/>
          <w:szCs w:val="32"/>
        </w:rPr>
        <w:t xml:space="preserve">ÉTICA EN LAS ORGANIZACIONES</w:t>
      </w:r>
    </w:p>
    <w:p>
      <w:pPr>
        <w:spacing w:after="120" w:before="0" w:line="360"/>
        <w:jc w:val="center"/>
      </w:pPr>
      <w:r>
        <w:rPr>
          <w:rFonts w:ascii="Arial" w:cs="Arial" w:eastAsia="Arial" w:hAnsi="Arial"/>
          <w:b/>
          <w:bCs/>
          <w:sz w:val="24"/>
          <w:szCs w:val="24"/>
        </w:rPr>
        <w:t xml:space="preserve">Unidad 1 · Actividad 1</w:t>
      </w:r>
    </w:p>
    <w:p>
      <w:pPr>
        <w:spacing w:after="900" w:before="0" w:line="360"/>
        <w:jc w:val="center"/>
      </w:pPr>
      <w:r>
        <w:rPr>
          <w:rFonts w:ascii="Arial" w:cs="Arial" w:eastAsia="Arial" w:hAnsi="Arial"/>
          <w:i/>
          <w:iCs/>
          <w:sz w:val="24"/>
          <w:szCs w:val="24"/>
        </w:rPr>
        <w:t xml:space="preserve">Comparación de definiciones del concepto de hombre y humano</w:t>
      </w:r>
    </w:p>
    <w:p>
      <w:pPr>
        <w:spacing w:after="80" w:before="0" w:line="360"/>
        <w:jc w:val="center"/>
      </w:pPr>
      <w:r>
        <w:rPr>
          <w:rFonts w:ascii="Arial" w:cs="Arial" w:eastAsia="Arial" w:hAnsi="Arial"/>
          <w:b/>
          <w:bCs/>
          <w:sz w:val="24"/>
          <w:szCs w:val="24"/>
        </w:rPr>
        <w:t xml:space="preserve">Alumno:</w:t>
      </w:r>
      <w:r>
        <w:rPr>
          <w:rFonts w:ascii="Arial" w:cs="Arial" w:eastAsia="Arial" w:hAnsi="Arial"/>
          <w:sz w:val="24"/>
          <w:szCs w:val="24"/>
        </w:rPr>
        <w:t xml:space="preserve"> Sánchez Campos Mauro Noel</w:t>
      </w:r>
    </w:p>
    <w:p>
      <w:pPr>
        <w:spacing w:after="80" w:before="0" w:line="360"/>
        <w:jc w:val="center"/>
      </w:pPr>
      <w:r>
        <w:rPr>
          <w:rFonts w:ascii="Arial" w:cs="Arial" w:eastAsia="Arial" w:hAnsi="Arial"/>
          <w:b/>
          <w:bCs/>
          <w:sz w:val="24"/>
          <w:szCs w:val="24"/>
        </w:rPr>
        <w:t xml:space="preserve">Grupo:</w:t>
      </w:r>
      <w:r>
        <w:rPr>
          <w:rFonts w:ascii="Arial" w:cs="Arial" w:eastAsia="Arial" w:hAnsi="Arial"/>
          <w:sz w:val="24"/>
          <w:szCs w:val="24"/>
        </w:rPr>
        <w:t xml:space="preserve"> 8191</w:t>
      </w:r>
    </w:p>
    <w:p>
      <w:pPr>
        <w:spacing w:after="80" w:before="0" w:line="360"/>
        <w:jc w:val="center"/>
      </w:pPr>
      <w:r>
        <w:rPr>
          <w:rFonts w:ascii="Arial" w:cs="Arial" w:eastAsia="Arial" w:hAnsi="Arial"/>
          <w:b/>
          <w:bCs/>
          <w:sz w:val="24"/>
          <w:szCs w:val="24"/>
        </w:rPr>
        <w:t xml:space="preserve">Asesor:</w:t>
      </w:r>
      <w:r>
        <w:rPr>
          <w:rFonts w:ascii="Arial" w:cs="Arial" w:eastAsia="Arial" w:hAnsi="Arial"/>
          <w:sz w:val="24"/>
          <w:szCs w:val="24"/>
        </w:rPr>
        <w:t xml:space="preserve"> Eduardo Durán Alvarado</w:t>
      </w:r>
    </w:p>
    <w:p>
      <w:pPr>
        <w:spacing w:after="80" w:before="0" w:line="360"/>
        <w:jc w:val="center"/>
      </w:pPr>
      <w:r>
        <w:rPr>
          <w:rFonts w:ascii="Arial" w:cs="Arial" w:eastAsia="Arial" w:hAnsi="Arial"/>
          <w:b/>
          <w:bCs/>
          <w:sz w:val="24"/>
          <w:szCs w:val="24"/>
        </w:rPr>
        <w:t xml:space="preserve">Fecha de entrega:</w:t>
      </w:r>
      <w:r>
        <w:rPr>
          <w:rFonts w:ascii="Arial" w:cs="Arial" w:eastAsia="Arial" w:hAnsi="Arial"/>
          <w:sz w:val="24"/>
          <w:szCs w:val="24"/>
        </w:rPr>
        <w:t xml:space="preserve"> 23 de septiembre de 2026</w:t>
      </w:r>
    </w:p>
    <w:p>
      <w:r>
        <w:br w:type="page"/>
      </w:r>
    </w:p>
    <w:p>
      <w:pPr>
        <w:pStyle w:val="Heading1"/>
        <w:keepNext/>
        <w:spacing w:after="160" w:before="240" w:line="360"/>
      </w:pPr>
      <w:r>
        <w:rPr>
          <w:rFonts w:ascii="Arial" w:cs="Arial" w:eastAsia="Arial" w:hAnsi="Arial"/>
          <w:b/>
          <w:bCs/>
          <w:color w:val="000000"/>
          <w:sz w:val="26"/>
          <w:szCs w:val="26"/>
        </w:rPr>
        <w:t xml:space="preserve">Introducción</w:t>
      </w:r>
    </w:p>
    <w:p>
      <w:pPr>
        <w:spacing w:after="160" w:before="0" w:line="360"/>
        <w:jc w:val="both"/>
      </w:pPr>
      <w:r>
        <w:rPr>
          <w:rFonts w:ascii="Arial" w:cs="Arial" w:eastAsia="Arial" w:hAnsi="Arial"/>
          <w:sz w:val="24"/>
          <w:szCs w:val="24"/>
        </w:rPr>
        <w:t xml:space="preserve">La pregunta "¿qué es el ser humano?" ha recibido respuestas muy distintas a lo largo de la historia. Como señala el apunte de la asignatura, conceptos que definan al hombre y teorías que lo expliquen hay tantas como hombres, y todas ellas forman parte de la antropología filosófica (Gómez et al., 2024). En esta actividad comparo seis definiciones de distintos autores y épocas, distinguiendo entre el término "hombre" (el ser humano como especie o como ser racional) y "humano" (lo propio de esa naturaleza y, en un sentido moral, la cualidad de ser sensible hacia los demás).</w:t>
      </w:r>
    </w:p>
    <w:p>
      <w:pPr>
        <w:pStyle w:val="Heading1"/>
        <w:keepNext/>
        <w:spacing w:after="160" w:before="240" w:line="360"/>
      </w:pPr>
      <w:r>
        <w:rPr>
          <w:rFonts w:ascii="Arial" w:cs="Arial" w:eastAsia="Arial" w:hAnsi="Arial"/>
          <w:b/>
          <w:bCs/>
          <w:color w:val="000000"/>
          <w:sz w:val="26"/>
          <w:szCs w:val="26"/>
        </w:rPr>
        <w:t xml:space="preserve">Cuadro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160"/>
        <w:gridCol w:w="4400"/>
      </w:tblGrid>
      <w:tr>
        <w:trPr>
          <w:tblHeader/>
        </w:trPr>
        <w:tc>
          <w:tcPr>
            <w:tcW w:type="dxa" w:w="15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Autor</w:t>
            </w:r>
          </w:p>
        </w:tc>
        <w:tc>
          <w:tcPr>
            <w:tcW w:type="dxa" w:w="23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Contexto</w:t>
            </w:r>
          </w:p>
        </w:tc>
        <w:tc>
          <w:tcPr>
            <w:tcW w:type="dxa" w:w="116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Concepto</w:t>
            </w:r>
          </w:p>
        </w:tc>
        <w:tc>
          <w:tcPr>
            <w:tcW w:type="dxa" w:w="44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Definición</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Platón</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Grecia clásica, siglo IV a. C.; filosofía idealista</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Hombre</w:t>
            </w:r>
          </w:p>
        </w:tc>
        <w:tc>
          <w:tcPr>
            <w:tcW w:type="dxa" w:w="4400"/>
            <w:tcMar>
              <w:top w:type="dxa" w:w="60"/>
              <w:left w:type="dxa" w:w="100"/>
              <w:bottom w:type="dxa" w:w="60"/>
              <w:right w:type="dxa" w:w="100"/>
            </w:tcMar>
          </w:tcPr>
          <w:p>
            <w:pPr>
              <w:spacing w:line="276"/>
            </w:pPr>
            <w:r>
              <w:rPr>
                <w:rFonts w:ascii="Arial" w:cs="Arial" w:eastAsia="Arial" w:hAnsi="Arial"/>
                <w:b w:val="false"/>
                <w:bCs w:val="false"/>
                <w:sz w:val="20"/>
                <w:szCs w:val="20"/>
              </w:rPr>
              <w:t xml:space="preserve">Ser en tensión entre dos fuerzas: el espíritu, que le da equilibrio y templanza, y el impulso animal de los apetitos del cuerpo; a veces se impone uno y a veces el otro (Gómez et al., 2024).</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Aristóteles</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Grecia clásica, siglo IV a. C.; obra </w:t>
            </w:r>
            <w:r>
              <w:rPr>
                <w:rFonts w:ascii="Arial" w:cs="Arial" w:eastAsia="Arial" w:hAnsi="Arial"/>
                <w:b w:val="false"/>
                <w:bCs w:val="false"/>
                <w:i/>
                <w:iCs/>
                <w:sz w:val="20"/>
                <w:szCs w:val="20"/>
              </w:rPr>
              <w:t xml:space="preserve">Política</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Hombre</w:t>
            </w:r>
          </w:p>
        </w:tc>
        <w:tc>
          <w:tcPr>
            <w:tcW w:type="dxa" w:w="4400"/>
            <w:tcMar>
              <w:top w:type="dxa" w:w="60"/>
              <w:left w:type="dxa" w:w="100"/>
              <w:bottom w:type="dxa" w:w="60"/>
              <w:right w:type="dxa" w:w="100"/>
            </w:tcMar>
          </w:tcPr>
          <w:p>
            <w:pPr>
              <w:spacing w:line="276"/>
            </w:pPr>
            <w:r>
              <w:rPr>
                <w:rFonts w:ascii="Arial" w:cs="Arial" w:eastAsia="Arial" w:hAnsi="Arial"/>
                <w:b w:val="false"/>
                <w:bCs w:val="false"/>
                <w:sz w:val="20"/>
                <w:szCs w:val="20"/>
              </w:rPr>
              <w:t xml:space="preserve">"Animal racional" y, por naturaleza, "animal político" (</w:t>
            </w:r>
            <w:r>
              <w:rPr>
                <w:rFonts w:ascii="Arial" w:cs="Arial" w:eastAsia="Arial" w:hAnsi="Arial"/>
                <w:b w:val="false"/>
                <w:bCs w:val="false"/>
                <w:i/>
                <w:iCs/>
                <w:sz w:val="20"/>
                <w:szCs w:val="20"/>
              </w:rPr>
              <w:t xml:space="preserve">zoon politikon</w:t>
            </w:r>
            <w:r>
              <w:rPr>
                <w:rFonts w:ascii="Arial" w:cs="Arial" w:eastAsia="Arial" w:hAnsi="Arial"/>
                <w:b w:val="false"/>
                <w:bCs w:val="false"/>
                <w:sz w:val="20"/>
                <w:szCs w:val="20"/>
              </w:rPr>
              <w:t xml:space="preserve">): el único ser con </w:t>
            </w:r>
            <w:r>
              <w:rPr>
                <w:rFonts w:ascii="Arial" w:cs="Arial" w:eastAsia="Arial" w:hAnsi="Arial"/>
                <w:b w:val="false"/>
                <w:bCs w:val="false"/>
                <w:i/>
                <w:iCs/>
                <w:sz w:val="20"/>
                <w:szCs w:val="20"/>
              </w:rPr>
              <w:t xml:space="preserve">logos</w:t>
            </w:r>
            <w:r>
              <w:rPr>
                <w:rFonts w:ascii="Arial" w:cs="Arial" w:eastAsia="Arial" w:hAnsi="Arial"/>
                <w:b w:val="false"/>
                <w:bCs w:val="false"/>
                <w:sz w:val="20"/>
                <w:szCs w:val="20"/>
              </w:rPr>
              <w:t xml:space="preserve"> (razón y palabra), que se realiza viviendo en comunidad, en la </w:t>
            </w:r>
            <w:r>
              <w:rPr>
                <w:rFonts w:ascii="Arial" w:cs="Arial" w:eastAsia="Arial" w:hAnsi="Arial"/>
                <w:b w:val="false"/>
                <w:bCs w:val="false"/>
                <w:i/>
                <w:iCs/>
                <w:sz w:val="20"/>
                <w:szCs w:val="20"/>
              </w:rPr>
              <w:t xml:space="preserve">polis</w:t>
            </w:r>
            <w:r>
              <w:rPr>
                <w:rFonts w:ascii="Arial" w:cs="Arial" w:eastAsia="Arial" w:hAnsi="Arial"/>
                <w:b w:val="false"/>
                <w:bCs w:val="false"/>
                <w:sz w:val="20"/>
                <w:szCs w:val="20"/>
              </w:rPr>
              <w:t xml:space="preserve"> (Aristóteles, 1988).</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Immanuel Kant</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Ilustración alemana, siglo XVIII; ética del deber</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Humano / persona</w:t>
            </w:r>
          </w:p>
        </w:tc>
        <w:tc>
          <w:tcPr>
            <w:tcW w:type="dxa" w:w="4400"/>
            <w:tcMar>
              <w:top w:type="dxa" w:w="60"/>
              <w:left w:type="dxa" w:w="100"/>
              <w:bottom w:type="dxa" w:w="60"/>
              <w:right w:type="dxa" w:w="100"/>
            </w:tcMar>
          </w:tcPr>
          <w:p>
            <w:pPr>
              <w:spacing w:line="276"/>
            </w:pPr>
            <w:r>
              <w:rPr>
                <w:rFonts w:ascii="Arial" w:cs="Arial" w:eastAsia="Arial" w:hAnsi="Arial"/>
                <w:b w:val="false"/>
                <w:bCs w:val="false"/>
                <w:sz w:val="20"/>
                <w:szCs w:val="20"/>
              </w:rPr>
              <w:t xml:space="preserve">El ser racional es un fin en sí mismo y nunca solo un medio; por eso tiene dignidad y no precio. La humanidad de cada persona debe ser respetada siempre (Kant, 2002).</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Karl Marx</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Siglo XIX; crítica de la economía y de la sociedad industrial</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Hombre</w:t>
            </w:r>
          </w:p>
        </w:tc>
        <w:tc>
          <w:tcPr>
            <w:tcW w:type="dxa" w:w="4400"/>
            <w:tcMar>
              <w:top w:type="dxa" w:w="60"/>
              <w:left w:type="dxa" w:w="100"/>
              <w:bottom w:type="dxa" w:w="60"/>
              <w:right w:type="dxa" w:w="100"/>
            </w:tcMar>
          </w:tcPr>
          <w:p>
            <w:pPr>
              <w:spacing w:line="276"/>
            </w:pPr>
            <w:r>
              <w:rPr>
                <w:rFonts w:ascii="Arial" w:cs="Arial" w:eastAsia="Arial" w:hAnsi="Arial"/>
                <w:b w:val="false"/>
                <w:bCs w:val="false"/>
                <w:sz w:val="20"/>
                <w:szCs w:val="20"/>
              </w:rPr>
              <w:t xml:space="preserve">Ser de la </w:t>
            </w:r>
            <w:r>
              <w:rPr>
                <w:rFonts w:ascii="Arial" w:cs="Arial" w:eastAsia="Arial" w:hAnsi="Arial"/>
                <w:b w:val="false"/>
                <w:bCs w:val="false"/>
                <w:i/>
                <w:iCs/>
                <w:sz w:val="20"/>
                <w:szCs w:val="20"/>
              </w:rPr>
              <w:t xml:space="preserve">praxis</w:t>
            </w:r>
            <w:r>
              <w:rPr>
                <w:rFonts w:ascii="Arial" w:cs="Arial" w:eastAsia="Arial" w:hAnsi="Arial"/>
                <w:b w:val="false"/>
                <w:bCs w:val="false"/>
                <w:sz w:val="20"/>
                <w:szCs w:val="20"/>
              </w:rPr>
              <w:t xml:space="preserve">: se produce y transforma a sí mismo mediante el trabajo y la acción sobre la naturaleza y la sociedad; teoría y práctica son inseparables (Gómez et al., 2024).</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Ernst Cassirer</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Siglo XX; filosofía de la cultura</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Hombre</w:t>
            </w:r>
          </w:p>
        </w:tc>
        <w:tc>
          <w:tcPr>
            <w:tcW w:type="dxa" w:w="4400"/>
            <w:tcMar>
              <w:top w:type="dxa" w:w="60"/>
              <w:left w:type="dxa" w:w="100"/>
              <w:bottom w:type="dxa" w:w="60"/>
              <w:right w:type="dxa" w:w="100"/>
            </w:tcMar>
          </w:tcPr>
          <w:p>
            <w:pPr>
              <w:spacing w:line="276"/>
            </w:pPr>
            <w:r>
              <w:rPr>
                <w:rFonts w:ascii="Arial" w:cs="Arial" w:eastAsia="Arial" w:hAnsi="Arial"/>
                <w:b w:val="false"/>
                <w:bCs w:val="false"/>
                <w:sz w:val="20"/>
                <w:szCs w:val="20"/>
              </w:rPr>
              <w:t xml:space="preserve">"Animal simbólico": vive en un universo de símbolos (lenguaje, mito, arte, ciencia) a los que da significado, y por medio de ellos conoce y se comunica (Cassirer, 1968; Gómez et al., 2024).</w:t>
            </w:r>
          </w:p>
        </w:tc>
      </w:tr>
      <w:tr>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Real Academia Española</w:t>
            </w:r>
          </w:p>
        </w:tc>
        <w:tc>
          <w:tcPr>
            <w:tcW w:type="dxa" w:w="2300"/>
            <w:tcMar>
              <w:top w:type="dxa" w:w="60"/>
              <w:left w:type="dxa" w:w="100"/>
              <w:bottom w:type="dxa" w:w="60"/>
              <w:right w:type="dxa" w:w="100"/>
            </w:tcMar>
          </w:tcPr>
          <w:p>
            <w:pPr>
              <w:spacing w:line="276"/>
            </w:pPr>
            <w:r>
              <w:rPr>
                <w:rFonts w:ascii="Arial" w:cs="Arial" w:eastAsia="Arial" w:hAnsi="Arial"/>
                <w:b w:val="false"/>
                <w:bCs w:val="false"/>
                <w:sz w:val="20"/>
                <w:szCs w:val="20"/>
              </w:rPr>
              <w:t xml:space="preserve">Diccionario de la lengua española, siglo XXI</w:t>
            </w:r>
          </w:p>
        </w:tc>
        <w:tc>
          <w:tcPr>
            <w:tcW w:type="dxa" w:w="1160"/>
            <w:tcMar>
              <w:top w:type="dxa" w:w="60"/>
              <w:left w:type="dxa" w:w="100"/>
              <w:bottom w:type="dxa" w:w="60"/>
              <w:right w:type="dxa" w:w="100"/>
            </w:tcMar>
          </w:tcPr>
          <w:p>
            <w:pPr>
              <w:spacing w:line="276"/>
            </w:pPr>
            <w:r>
              <w:rPr>
                <w:rFonts w:ascii="Arial" w:cs="Arial" w:eastAsia="Arial" w:hAnsi="Arial"/>
                <w:b w:val="false"/>
                <w:bCs w:val="false"/>
                <w:sz w:val="20"/>
                <w:szCs w:val="20"/>
              </w:rPr>
              <w:t xml:space="preserve">Hombre y humano</w:t>
            </w:r>
          </w:p>
        </w:tc>
        <w:tc>
          <w:tcPr>
            <w:tcW w:type="dxa" w:w="4400"/>
            <w:tcMar>
              <w:top w:type="dxa" w:w="60"/>
              <w:left w:type="dxa" w:w="100"/>
              <w:bottom w:type="dxa" w:w="60"/>
              <w:right w:type="dxa" w:w="100"/>
            </w:tcMar>
          </w:tcPr>
          <w:p>
            <w:pPr>
              <w:spacing w:line="276"/>
            </w:pPr>
            <w:r>
              <w:rPr>
                <w:rFonts w:ascii="Arial" w:cs="Arial" w:eastAsia="Arial" w:hAnsi="Arial"/>
                <w:b w:val="false"/>
                <w:bCs w:val="false"/>
                <w:i/>
                <w:iCs/>
                <w:sz w:val="20"/>
                <w:szCs w:val="20"/>
              </w:rPr>
              <w:t xml:space="preserve">Hombre</w:t>
            </w:r>
            <w:r>
              <w:rPr>
                <w:rFonts w:ascii="Arial" w:cs="Arial" w:eastAsia="Arial" w:hAnsi="Arial"/>
                <w:b w:val="false"/>
                <w:bCs w:val="false"/>
                <w:sz w:val="20"/>
                <w:szCs w:val="20"/>
              </w:rPr>
              <w:t xml:space="preserve">: "ser animado racional, varón o mujer". </w:t>
            </w:r>
            <w:r>
              <w:rPr>
                <w:rFonts w:ascii="Arial" w:cs="Arial" w:eastAsia="Arial" w:hAnsi="Arial"/>
                <w:b w:val="false"/>
                <w:bCs w:val="false"/>
                <w:i/>
                <w:iCs/>
                <w:sz w:val="20"/>
                <w:szCs w:val="20"/>
              </w:rPr>
              <w:t xml:space="preserve">Humano</w:t>
            </w:r>
            <w:r>
              <w:rPr>
                <w:rFonts w:ascii="Arial" w:cs="Arial" w:eastAsia="Arial" w:hAnsi="Arial"/>
                <w:b w:val="false"/>
                <w:bCs w:val="false"/>
                <w:sz w:val="20"/>
                <w:szCs w:val="20"/>
              </w:rPr>
              <w:t xml:space="preserve">: que tiene naturaleza de hombre y, aplicado a una persona, "comprensiva, sensible a los infortunios ajenos" (Real Academia Española, 2014).</w:t>
            </w:r>
          </w:p>
        </w:tc>
      </w:tr>
    </w:tbl>
    <w:p>
      <w:pPr>
        <w:spacing w:after="120" w:before="0" w:line="360"/>
        <w:jc w:val="both"/>
      </w:pPr>
    </w:p>
    <w:p>
      <w:pPr>
        <w:pStyle w:val="Heading1"/>
        <w:keepNext/>
        <w:spacing w:after="160" w:before="240" w:line="360"/>
      </w:pPr>
      <w:r>
        <w:rPr>
          <w:rFonts w:ascii="Arial" w:cs="Arial" w:eastAsia="Arial" w:hAnsi="Arial"/>
          <w:b/>
          <w:bCs/>
          <w:color w:val="000000"/>
          <w:sz w:val="26"/>
          <w:szCs w:val="26"/>
        </w:rPr>
        <w:t xml:space="preserve">Análisis de la comparación</w:t>
      </w:r>
    </w:p>
    <w:p>
      <w:pPr>
        <w:spacing w:after="160" w:before="0" w:line="360"/>
        <w:jc w:val="both"/>
      </w:pPr>
      <w:r>
        <w:rPr>
          <w:rFonts w:ascii="Arial" w:cs="Arial" w:eastAsia="Arial" w:hAnsi="Arial"/>
          <w:sz w:val="24"/>
          <w:szCs w:val="24"/>
        </w:rPr>
        <w:t xml:space="preserve">Al comparar las definiciones encuentro un punto en común: casi todas ubican lo distintivo del ser humano en la razón, ya sea como </w:t>
      </w:r>
      <w:r>
        <w:rPr>
          <w:rFonts w:ascii="Arial" w:cs="Arial" w:eastAsia="Arial" w:hAnsi="Arial"/>
          <w:i/>
          <w:iCs/>
          <w:sz w:val="24"/>
          <w:szCs w:val="24"/>
        </w:rPr>
        <w:t xml:space="preserve">logos</w:t>
      </w:r>
      <w:r>
        <w:rPr>
          <w:rFonts w:ascii="Arial" w:cs="Arial" w:eastAsia="Arial" w:hAnsi="Arial"/>
          <w:sz w:val="24"/>
          <w:szCs w:val="24"/>
        </w:rPr>
        <w:t xml:space="preserve"> (Aristóteles), como capacidad de crear símbolos (Cassirer) o como fundamento de la dignidad (Kant). La diferencia está en el énfasis: Platón y Aristóteles miran la naturaleza del hombre; Marx se fija en lo que el hombre hace y transforma; Cassirer, en cómo construye significados; y Kant, en cómo debe ser tratado. También noté que la palabra "humano" tiene un sentido moral que "hombre" no tiene: decir que alguien es "humano" no solo describe su especie, sino que reconoce su compasión hacia los demás.</w:t>
      </w:r>
    </w:p>
    <w:p>
      <w:pPr>
        <w:pStyle w:val="Heading1"/>
        <w:keepNext/>
        <w:spacing w:after="160" w:before="240" w:line="360"/>
      </w:pPr>
      <w:r>
        <w:rPr>
          <w:rFonts w:ascii="Arial" w:cs="Arial" w:eastAsia="Arial" w:hAnsi="Arial"/>
          <w:b/>
          <w:bCs/>
          <w:color w:val="000000"/>
          <w:sz w:val="26"/>
          <w:szCs w:val="26"/>
        </w:rPr>
        <w:t xml:space="preserve">Mi definición del ser humano</w:t>
      </w:r>
    </w:p>
    <w:p>
      <w:pPr>
        <w:spacing w:after="160" w:before="0" w:line="360"/>
        <w:jc w:val="both"/>
      </w:pPr>
      <w:r>
        <w:rPr>
          <w:rFonts w:ascii="Arial" w:cs="Arial" w:eastAsia="Arial" w:hAnsi="Arial"/>
          <w:sz w:val="24"/>
          <w:szCs w:val="24"/>
        </w:rPr>
        <w:t xml:space="preserve">Con base en lo anterior, propongo la siguiente definición: </w:t>
      </w:r>
      <w:r>
        <w:rPr>
          <w:rFonts w:ascii="Arial" w:cs="Arial" w:eastAsia="Arial" w:hAnsi="Arial"/>
          <w:b/>
          <w:bCs/>
          <w:sz w:val="24"/>
          <w:szCs w:val="24"/>
        </w:rPr>
        <w:t xml:space="preserve">el ser humano es un ser racional y social que, a través del lenguaje y de su trabajo, da sentido a su realidad y la transforma, y que por su capacidad de elegir es responsable de sus actos y digno de respeto.</w:t>
      </w:r>
      <w:r>
        <w:rPr>
          <w:rFonts w:ascii="Arial" w:cs="Arial" w:eastAsia="Arial" w:hAnsi="Arial"/>
          <w:sz w:val="24"/>
          <w:szCs w:val="24"/>
        </w:rPr>
        <w:t xml:space="preserve"> Reúno en ella la razón (Aristóteles), la vida en comunidad (Aristóteles), los símbolos y el lenguaje (Cassirer), la acción transformadora (Marx) y la dignidad (Kant), porque considero que ninguna de estas ideas por sí sola alcanza a describir a la persona completa.</w:t>
      </w:r>
    </w:p>
    <w:p>
      <w:pPr>
        <w:pStyle w:val="Heading1"/>
        <w:keepNext/>
        <w:spacing w:after="160" w:before="240" w:line="360"/>
      </w:pPr>
      <w:r>
        <w:rPr>
          <w:rFonts w:ascii="Arial" w:cs="Arial" w:eastAsia="Arial" w:hAnsi="Arial"/>
          <w:b/>
          <w:bCs/>
          <w:color w:val="000000"/>
          <w:sz w:val="26"/>
          <w:szCs w:val="26"/>
        </w:rPr>
        <w:t xml:space="preserve">Influencia en el ámbito ético y profesional</w:t>
      </w:r>
    </w:p>
    <w:p>
      <w:pPr>
        <w:spacing w:after="160" w:before="0" w:line="360"/>
        <w:jc w:val="both"/>
      </w:pPr>
      <w:r>
        <w:rPr>
          <w:rFonts w:ascii="Arial" w:cs="Arial" w:eastAsia="Arial" w:hAnsi="Arial"/>
          <w:sz w:val="24"/>
          <w:szCs w:val="24"/>
        </w:rPr>
        <w:t xml:space="preserve">Estas perspectivas cambian la forma en que veo el trabajo. Si el ser humano es un fin en sí mismo, en una organización las personas no pueden tratarse solo como recursos para obtener ganancias, y cualquier decisión debe considerar su dignidad. Si es un ser social, las acciones de una empresa afectan a una comunidad completa y no solo a sus clientes. Y si es un ser de la praxis, el trabajo no es únicamente un medio para ganar dinero, sino una manera de realizarse y de transformar el entorno.</w:t>
      </w:r>
    </w:p>
    <w:p>
      <w:pPr>
        <w:spacing w:after="160" w:before="0" w:line="360"/>
        <w:jc w:val="both"/>
      </w:pPr>
      <w:r>
        <w:rPr>
          <w:rFonts w:ascii="Arial" w:cs="Arial" w:eastAsia="Arial" w:hAnsi="Arial"/>
          <w:sz w:val="24"/>
          <w:szCs w:val="24"/>
        </w:rPr>
        <w:t xml:space="preserve">En mi futura profesión como Licenciado en Informática esto tiene consecuencias concretas: los sistemas que se desarrollan manejan datos de personas reales, por lo que debo proteger su privacidad, no diseñar herramientas que engañen o manipulen a los usuarios y pensar en cómo la tecnología puede servir a las personas y no al revés. Ser "humano", en el sentido moral de la palabra, también es parte de ser un buen profesional.</w:t>
      </w:r>
    </w:p>
    <w:p>
      <w:pPr>
        <w:pStyle w:val="Heading1"/>
        <w:keepNext/>
        <w:spacing w:after="160" w:before="240" w:line="360"/>
      </w:pPr>
      <w:r>
        <w:rPr>
          <w:rFonts w:ascii="Arial" w:cs="Arial" w:eastAsia="Arial" w:hAnsi="Arial"/>
          <w:b/>
          <w:bCs/>
          <w:color w:val="000000"/>
          <w:sz w:val="26"/>
          <w:szCs w:val="26"/>
        </w:rPr>
        <w:t xml:space="preserve">Referencias</w:t>
      </w:r>
    </w:p>
    <w:p>
      <w:pPr>
        <w:spacing w:after="160" w:before="0" w:line="360"/>
        <w:ind w:left="720" w:hanging="720"/>
        <w:jc w:val="left"/>
      </w:pPr>
      <w:r>
        <w:rPr>
          <w:rFonts w:ascii="Arial" w:cs="Arial" w:eastAsia="Arial" w:hAnsi="Arial"/>
          <w:sz w:val="24"/>
          <w:szCs w:val="24"/>
        </w:rPr>
        <w:t xml:space="preserve">Aristóteles. (1988). </w:t>
      </w:r>
      <w:r>
        <w:rPr>
          <w:rFonts w:ascii="Arial" w:cs="Arial" w:eastAsia="Arial" w:hAnsi="Arial"/>
          <w:i/>
          <w:iCs/>
          <w:sz w:val="24"/>
          <w:szCs w:val="24"/>
        </w:rPr>
        <w:t xml:space="preserve">Política</w:t>
      </w:r>
      <w:r>
        <w:rPr>
          <w:rFonts w:ascii="Arial" w:cs="Arial" w:eastAsia="Arial" w:hAnsi="Arial"/>
          <w:sz w:val="24"/>
          <w:szCs w:val="24"/>
        </w:rPr>
        <w:t xml:space="preserve"> (M. García Valdés, Trad.). Gredos.</w:t>
      </w:r>
    </w:p>
    <w:p>
      <w:pPr>
        <w:spacing w:after="160" w:before="0" w:line="360"/>
        <w:ind w:left="720" w:hanging="720"/>
        <w:jc w:val="left"/>
      </w:pPr>
      <w:r>
        <w:rPr>
          <w:rFonts w:ascii="Arial" w:cs="Arial" w:eastAsia="Arial" w:hAnsi="Arial"/>
          <w:sz w:val="24"/>
          <w:szCs w:val="24"/>
        </w:rPr>
        <w:t xml:space="preserve">Cassirer, E. (1968). </w:t>
      </w:r>
      <w:r>
        <w:rPr>
          <w:rFonts w:ascii="Arial" w:cs="Arial" w:eastAsia="Arial" w:hAnsi="Arial"/>
          <w:i/>
          <w:iCs/>
          <w:sz w:val="24"/>
          <w:szCs w:val="24"/>
        </w:rPr>
        <w:t xml:space="preserve">Antropología filosófica: introducción a una filosofía de la cultura</w:t>
      </w:r>
      <w:r>
        <w:rPr>
          <w:rFonts w:ascii="Arial" w:cs="Arial" w:eastAsia="Arial" w:hAnsi="Arial"/>
          <w:sz w:val="24"/>
          <w:szCs w:val="24"/>
        </w:rPr>
        <w:t xml:space="preserve">. Fondo de Cultura Económica.</w:t>
      </w:r>
    </w:p>
    <w:p>
      <w:pPr>
        <w:spacing w:after="160" w:before="0" w:line="360"/>
        <w:ind w:left="720" w:hanging="720"/>
        <w:jc w:val="left"/>
      </w:pPr>
      <w:r>
        <w:rPr>
          <w:rFonts w:ascii="Arial" w:cs="Arial" w:eastAsia="Arial" w:hAnsi="Arial"/>
          <w:sz w:val="24"/>
          <w:szCs w:val="24"/>
        </w:rPr>
        <w:t xml:space="preserve">Gómez Hernández, A., Hernández Mendoza, F., y Narcia Constandse, C. (2024). </w:t>
      </w:r>
      <w:r>
        <w:rPr>
          <w:rFonts w:ascii="Arial" w:cs="Arial" w:eastAsia="Arial" w:hAnsi="Arial"/>
          <w:i/>
          <w:iCs/>
          <w:sz w:val="24"/>
          <w:szCs w:val="24"/>
        </w:rPr>
        <w:t xml:space="preserve">Ética en las organizaciones</w:t>
      </w:r>
      <w:r>
        <w:rPr>
          <w:rFonts w:ascii="Arial" w:cs="Arial" w:eastAsia="Arial" w:hAnsi="Arial"/>
          <w:sz w:val="24"/>
          <w:szCs w:val="24"/>
        </w:rPr>
        <w:t xml:space="preserve"> [Apunte digital, Licenciatura en Informática]. Universidad Nacional Autónoma de México, Facultad de Contaduría y Administración.</w:t>
      </w:r>
    </w:p>
    <w:p>
      <w:pPr>
        <w:spacing w:after="160" w:before="0" w:line="360"/>
        <w:ind w:left="720" w:hanging="720"/>
        <w:jc w:val="left"/>
      </w:pPr>
      <w:r>
        <w:rPr>
          <w:rFonts w:ascii="Arial" w:cs="Arial" w:eastAsia="Arial" w:hAnsi="Arial"/>
          <w:sz w:val="24"/>
          <w:szCs w:val="24"/>
        </w:rPr>
        <w:t xml:space="preserve">Kant, I. (2002). </w:t>
      </w:r>
      <w:r>
        <w:rPr>
          <w:rFonts w:ascii="Arial" w:cs="Arial" w:eastAsia="Arial" w:hAnsi="Arial"/>
          <w:i/>
          <w:iCs/>
          <w:sz w:val="24"/>
          <w:szCs w:val="24"/>
        </w:rPr>
        <w:t xml:space="preserve">Fundamentación para una metafísica de las costumbres</w:t>
      </w:r>
      <w:r>
        <w:rPr>
          <w:rFonts w:ascii="Arial" w:cs="Arial" w:eastAsia="Arial" w:hAnsi="Arial"/>
          <w:sz w:val="24"/>
          <w:szCs w:val="24"/>
        </w:rPr>
        <w:t xml:space="preserve"> (R. R. Aramayo, Trad.). Alianza Editorial.</w:t>
      </w:r>
    </w:p>
    <w:p>
      <w:pPr>
        <w:spacing w:after="160" w:before="0" w:line="360"/>
        <w:ind w:left="720" w:hanging="720"/>
        <w:jc w:val="left"/>
      </w:pPr>
      <w:r>
        <w:rPr>
          <w:rFonts w:ascii="Arial" w:cs="Arial" w:eastAsia="Arial" w:hAnsi="Arial"/>
          <w:sz w:val="24"/>
          <w:szCs w:val="24"/>
        </w:rPr>
        <w:t xml:space="preserve">Real Academia Española. (2014). </w:t>
      </w:r>
      <w:r>
        <w:rPr>
          <w:rFonts w:ascii="Arial" w:cs="Arial" w:eastAsia="Arial" w:hAnsi="Arial"/>
          <w:i/>
          <w:iCs/>
          <w:sz w:val="24"/>
          <w:szCs w:val="24"/>
        </w:rPr>
        <w:t xml:space="preserve">Diccionario de la lengua española</w:t>
      </w:r>
      <w:r>
        <w:rPr>
          <w:rFonts w:ascii="Arial" w:cs="Arial" w:eastAsia="Arial" w:hAnsi="Arial"/>
          <w:sz w:val="24"/>
          <w:szCs w:val="24"/>
        </w:rPr>
        <w:t xml:space="preserve"> (23.ª ed.). https://dle.rae.es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2026-10-01T03:23:28.280Z</dcterms:created>
  <dcterms:modified xsi:type="dcterms:W3CDTF">2026-10-01T03:23:28.280Z</dcterms:modified>
</cp:coreProperties>
</file>

<file path=docProps/custom.xml><?xml version="1.0" encoding="utf-8"?>
<Properties xmlns="http://schemas.openxmlformats.org/officeDocument/2006/custom-properties" xmlns:vt="http://schemas.openxmlformats.org/officeDocument/2006/docPropsVTypes"/>
</file>