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B1F3A"/>
          <w:sz w:val="72"/>
          <w:szCs w:val="72"/>
        </w:rPr>
        <w:t xml:space="preserve">AgentShield AI</w:t>
      </w:r>
    </w:p>
    <w:p>
      <w:pPr>
        <w:spacing w:after="40" w:before="120"/>
        <w:jc w:val="center"/>
      </w:pPr>
      <w:r>
        <w:rPr>
          <w:color w:val="1C4E80"/>
          <w:sz w:val="30"/>
          <w:szCs w:val="30"/>
        </w:rPr>
        <w:t xml:space="preserve">The Security Control Plane for the Agentic Enterprise</w:t>
      </w:r>
    </w:p>
    <w:p>
      <w:pPr>
        <w:spacing w:after="400" w:before="40"/>
        <w:jc w:val="center"/>
      </w:pPr>
      <w:r>
        <w:rPr>
          <w:i/>
          <w:iCs/>
          <w:color w:val="0E7C86"/>
          <w:sz w:val="24"/>
          <w:szCs w:val="24"/>
        </w:rPr>
        <w:t xml:space="preserve">Predict.  Govern.  Approve.  Execute Safely.  Audit.</w:t>
      </w:r>
    </w:p>
    <w:p>
      <w:pPr>
        <w:pBdr>
          <w:top w:val="single" w:color="5B3E9B" w:sz="8" w:space="6"/>
          <w:bottom w:val="single" w:color="5B3E9B" w:sz="8" w:space="6"/>
        </w:pBdr>
        <w:spacing w:after="0" w:before="200"/>
        <w:jc w:val="center"/>
      </w:pPr>
      <w:r>
        <w:rPr>
          <w:b/>
          <w:bCs/>
          <w:color w:val="1A1A1A"/>
          <w:sz w:val="34"/>
          <w:szCs w:val="34"/>
        </w:rPr>
        <w:t xml:space="preserve">Comprehensive Project Report</w:t>
      </w:r>
    </w:p>
    <w:p>
      <w:pPr>
        <w:spacing w:after="20" w:before="220"/>
        <w:jc w:val="center"/>
      </w:pPr>
      <w:r>
        <w:rPr>
          <w:color w:val="5A5A5A"/>
          <w:sz w:val="22"/>
          <w:szCs w:val="22"/>
        </w:rPr>
        <w:t xml:space="preserve">Deterministic assurance and governance for AI agents, agentic solutions, and orchestration systems</w:t>
      </w:r>
    </w:p>
    <w:p>
      <w:pPr>
        <w:spacing w:after="600"/>
      </w:pPr>
      <w:r>
        <w:t xml:space="preserve"/>
      </w:r>
    </w:p>
    <w:p>
      <w:pPr>
        <w:spacing w:after="20"/>
        <w:jc w:val="center"/>
      </w:pPr>
      <w:r>
        <w:rPr>
          <w:color w:val="5A5A5A"/>
          <w:sz w:val="20"/>
          <w:szCs w:val="20"/>
        </w:rPr>
        <w:t xml:space="preserve">Prepared: 08 September 2026</w:t>
      </w:r>
    </w:p>
    <w:p>
      <w:pPr>
        <w:spacing w:after="20"/>
        <w:jc w:val="center"/>
      </w:pPr>
      <w:r>
        <w:rPr>
          <w:color w:val="5A5A5A"/>
          <w:sz w:val="20"/>
          <w:szCs w:val="20"/>
        </w:rPr>
        <w:t xml:space="preserve">Repository: github.com/Mausam-00/AgentShield</w:t>
      </w:r>
    </w:p>
    <w:p>
      <w:pPr>
        <w:spacing w:after="20"/>
        <w:jc w:val="center"/>
      </w:pPr>
      <w:r>
        <w:rPr>
          <w:color w:val="5A5A5A"/>
          <w:sz w:val="18"/>
          <w:szCs w:val="18"/>
        </w:rPr>
        <w:t xml:space="preserve">Live: agentshield.calmfield-da2f25f9.centralindia.azurecontainerapps.io</w:t>
      </w:r>
    </w:p>
    <w:p>
      <w:r>
        <w:br w:type="page"/>
      </w:r>
    </w:p>
    <w:p>
      <w:pPr>
        <w:spacing w:after="160"/>
      </w:pPr>
      <w:r>
        <w:rPr>
          <w:b/>
          <w:bCs/>
          <w:color w:val="0B1F3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20" w:before="0" w:line="276"/>
      </w:pPr>
      <w:r>
        <w:t xml:space="preserve">AgentShield AI is a </w:t>
      </w:r>
      <w:r>
        <w:rPr>
          <w:b/>
          <w:bCs/>
        </w:rPr>
        <w:t xml:space="preserve">deterministic security control plane</w:t>
      </w:r>
      <w:r>
        <w:t xml:space="preserve"> for the agentic enterprise. As organisations move from chatbots to autonomous AI agents that call tools, touch data, and change real systems, a new class of risk emerges: an agent can be manipulated, exceed its intended authority, or take an irreversible action against a production target. AgentShield governs that risk. It audits an agent's design, evaluates a proposed action </w:t>
      </w:r>
      <w:r>
        <w:rPr>
          <w:i/>
          <w:iCs/>
        </w:rPr>
        <w:t xml:space="preserve">before</w:t>
      </w:r>
      <w:r>
        <w:t xml:space="preserve"> it reaches a target, predicts operational impact, applies deterministic policy, routes human approval, produces a constrained safe plan, validates observed behaviour, and preserves tamper-evident evidence.</w:t>
      </w:r>
    </w:p>
    <w:p>
      <w:pPr>
        <w:spacing w:after="120" w:before="0" w:line="276"/>
      </w:pPr>
      <w:r>
        <w:t xml:space="preserve">Its defining architectural principle is a </w:t>
      </w:r>
      <w:r>
        <w:rPr>
          <w:b/>
          <w:bCs/>
        </w:rPr>
        <w:t xml:space="preserve">strict separation between assurance posture and runtime authorization</w:t>
      </w:r>
      <w:r>
        <w:t xml:space="preserve">. Assurance answers “how much confidence do we have in this agent's design and controls?” (PASS / WARN / BLOCK). Authorization answers “may this one proposed action proceed right now?” (ALLOW / TRANSFORM / APPROVE / ESCALATE / DENY). The two are never conflated, and no language model is ever allowed to grant authorization or weaken a hard control.</w:t>
      </w:r>
    </w:p>
    <w:tbl>
      <w:tblPr>
        <w:tblW w:type="dxa" w:w="9360"/>
        <w:tblBorders>
          <w:top w:val="single" w:color="F1ECFA" w:sz="2"/>
          <w:left w:val="single" w:color="5B3E9B" w:sz="24"/>
          <w:bottom w:val="single" w:color="F1ECFA" w:sz="2"/>
          <w:right w:val="single" w:color="F1ECFA" w:sz="2"/>
          <w:insideH w:val="single" w:color="auto" w:sz="4"/>
          <w:insideV w:val="single" w:color="auto" w:sz="4"/>
        </w:tblBorders>
      </w:tblPr>
      <w:tblGrid>
        <w:gridCol w:w="9360"/>
      </w:tblGrid>
      <w:tr>
        <w:tc>
          <w:tcPr>
            <w:tcW w:type="dxa" w:w="9360"/>
            <w:shd w:fill="F1ECFA" w:color="auto" w:val="clear"/>
            <w:tcMar>
              <w:top w:type="dxa" w:w="120"/>
              <w:left w:type="dxa" w:w="180"/>
              <w:bottom w:type="dxa" w:w="120"/>
              <w:right w:type="dxa" w:w="160"/>
            </w:tcMar>
          </w:tcPr>
          <w:p>
            <w:pPr>
              <w:spacing w:after="60"/>
            </w:pPr>
            <w:r>
              <w:rPr>
                <w:b/>
                <w:bCs/>
                <w:color w:val="5B3E9B"/>
              </w:rPr>
              <w:t xml:space="preserve">The one-line thesis</w:t>
            </w:r>
          </w:p>
          <w:p>
            <w:pPr>
              <w:spacing w:after="40" w:line="272"/>
            </w:pPr>
            <w:r>
              <w:t xml:space="preserve">An agent can </w:t>
            </w:r>
            <w:r>
              <w:rPr>
                <w:b/>
                <w:bCs/>
                <w:color w:val="1E7A46"/>
              </w:rPr>
              <w:t xml:space="preserve">PASS</w:t>
            </w:r>
            <w:r>
              <w:t xml:space="preserve"> assurance and still have a dangerous action </w:t>
            </w:r>
            <w:r>
              <w:rPr>
                <w:b/>
                <w:bCs/>
                <w:color w:val="9B2226"/>
              </w:rPr>
              <w:t xml:space="preserve">DENIED</w:t>
            </w:r>
            <w:r>
              <w:t xml:space="preserve">; a </w:t>
            </w:r>
            <w:r>
              <w:rPr>
                <w:b/>
                <w:bCs/>
                <w:color w:val="9A6B00"/>
              </w:rPr>
              <w:t xml:space="preserve">WARN</w:t>
            </w:r>
            <w:r>
              <w:t xml:space="preserve"> agent may still perform an eligible low-risk read. </w:t>
            </w:r>
            <w:r>
              <w:rPr>
                <w:b/>
                <w:bCs/>
              </w:rPr>
              <w:t xml:space="preserve">PASS is not certification.</w:t>
            </w:r>
          </w:p>
        </w:tc>
      </w:tr>
    </w:tbl>
    <w:p>
      <w:pPr>
        <w:spacing w:after="120" w:before="0" w:line="276"/>
      </w:pPr>
      <w:r>
        <w:t xml:space="preserve">The engine is </w:t>
      </w:r>
      <w:r>
        <w:rPr>
          <w:b/>
          <w:bCs/>
        </w:rPr>
        <w:t xml:space="preserve">offline and network-free</w:t>
      </w:r>
      <w:r>
        <w:t xml:space="preserve">, which makes every verdict reproducible and safe to run anywhere. All real-signal measurement (adversarial probes, content-safety, fairness) is isolated in an opt-in live lane that never leaks into the core. AgentShield ships as a Python engine, a Copilot custom agent, a report pipeline, and a Next.js website deployed on Azure Container Apps — backed by a synthetic, mock-based test suite (188+ tests).</w:t>
      </w:r>
    </w:p>
    <w:p>
      <w:pPr>
        <w:pStyle w:val="Heading3"/>
        <w:spacing w:after="80" w:before="180"/>
      </w:pPr>
      <w:r>
        <w:t xml:space="preserve">Highlights</w:t>
      </w:r>
    </w:p>
    <w:p>
      <w:pPr>
        <w:pStyle w:val="ListParagraph"/>
        <w:numPr>
          <w:ilvl w:val="0"/>
          <w:numId w:val="2"/>
        </w:numPr>
        <w:spacing w:after="80" w:line="276"/>
      </w:pPr>
      <w:r>
        <w:rPr>
          <w:b/>
          <w:bCs/>
        </w:rPr>
        <w:t xml:space="preserve">Seven-gate governance workflow — </w:t>
      </w:r>
      <w:r>
        <w:t xml:space="preserve">From assurance audit to outcome validation, each gate is deterministic, versioned, and independently testable.</w:t>
      </w:r>
    </w:p>
    <w:p>
      <w:pPr>
        <w:pStyle w:val="ListParagraph"/>
        <w:numPr>
          <w:ilvl w:val="0"/>
          <w:numId w:val="2"/>
        </w:numPr>
        <w:spacing w:after="80" w:line="276"/>
      </w:pPr>
      <w:r>
        <w:rPr>
          <w:b/>
          <w:bCs/>
        </w:rPr>
        <w:t xml:space="preserve">Static adversarial red-team (Gate R) — </w:t>
      </w:r>
      <w:r>
        <w:t xml:space="preserve">Nine attack families scored for defense coverage, residual exposure, and Attack Success Rate (ASR) — treating every probe as inert data.</w:t>
      </w:r>
    </w:p>
    <w:p>
      <w:pPr>
        <w:pStyle w:val="ListParagraph"/>
        <w:numPr>
          <w:ilvl w:val="0"/>
          <w:numId w:val="2"/>
        </w:numPr>
        <w:spacing w:after="80" w:line="276"/>
      </w:pPr>
      <w:r>
        <w:rPr>
          <w:b/>
          <w:bCs/>
        </w:rPr>
        <w:t xml:space="preserve">Responsible AI posture — </w:t>
      </w:r>
      <w:r>
        <w:t xml:space="preserve">Six-pillar RAI scoring (RAI-PASS / WARN / BLOCK) kept strictly advisory and separate from authorization.</w:t>
      </w:r>
    </w:p>
    <w:p>
      <w:pPr>
        <w:pStyle w:val="ListParagraph"/>
        <w:numPr>
          <w:ilvl w:val="0"/>
          <w:numId w:val="2"/>
        </w:numPr>
        <w:spacing w:after="80" w:line="276"/>
      </w:pPr>
      <w:r>
        <w:rPr>
          <w:b/>
          <w:bCs/>
        </w:rPr>
        <w:t xml:space="preserve">Token optimization layer — </w:t>
      </w:r>
      <w:r>
        <w:t xml:space="preserve">A measured efficiency layer that cuts context tokens and relative compute cost with zero influence on any policy or authorization decision.</w:t>
      </w:r>
    </w:p>
    <w:p>
      <w:pPr>
        <w:pStyle w:val="ListParagraph"/>
        <w:numPr>
          <w:ilvl w:val="0"/>
          <w:numId w:val="2"/>
        </w:numPr>
        <w:spacing w:after="80" w:line="276"/>
      </w:pPr>
      <w:r>
        <w:rPr>
          <w:b/>
          <w:bCs/>
        </w:rPr>
        <w:t xml:space="preserve">Evidence provenance &amp; confidence weighting — </w:t>
      </w:r>
      <w:r>
        <w:t xml:space="preserve">Every finding is traceable to its source and confidence, so LLM enrichment can never silently override deterministic evidence.</w:t>
      </w:r>
    </w:p>
    <w:p>
      <w:pPr>
        <w:pStyle w:val="ListParagraph"/>
        <w:numPr>
          <w:ilvl w:val="0"/>
          <w:numId w:val="2"/>
        </w:numPr>
        <w:spacing w:after="80" w:line="276"/>
      </w:pPr>
      <w:r>
        <w:rPr>
          <w:b/>
          <w:bCs/>
        </w:rPr>
        <w:t xml:space="preserve">Compliance framework mapping — </w:t>
      </w:r>
      <w:r>
        <w:t xml:space="preserve">Advisory, versioned mapping of control families to OWASP LLM Top 10, NIST AI RMF, and the EU AI Act — explicitly not a certification.</w:t>
      </w:r>
    </w:p>
    <w:p>
      <w:pPr>
        <w:pStyle w:val="Heading1"/>
        <w:spacing w:after="160" w:before="320"/>
      </w:pPr>
      <w:r>
        <w:t xml:space="preserve">2. The Problem — Why This Tool Is Needed Now</w:t>
      </w:r>
    </w:p>
    <w:p>
      <w:pPr>
        <w:spacing w:after="120" w:before="0" w:line="276"/>
      </w:pPr>
      <w:r>
        <w:t xml:space="preserve">Generative AI has crossed from answering questions to taking actions. Modern agents plan multi-step tasks, invoke tools and APIs, read from retrieval systems, coordinate with other agents, and mutate real infrastructure. That capability is exactly what makes them dangerous when unbounded.</w:t>
      </w:r>
    </w:p>
    <w:p>
      <w:pPr>
        <w:pStyle w:val="Heading3"/>
        <w:spacing w:after="80" w:before="180"/>
      </w:pPr>
      <w:r>
        <w:t xml:space="preserve">The new risk surface</w:t>
      </w:r>
    </w:p>
    <w:p>
      <w:pPr>
        <w:pStyle w:val="ListParagraph"/>
        <w:numPr>
          <w:ilvl w:val="0"/>
          <w:numId w:val="2"/>
        </w:numPr>
        <w:spacing w:after="80" w:line="276"/>
      </w:pPr>
      <w:r>
        <w:rPr>
          <w:b/>
          <w:bCs/>
        </w:rPr>
        <w:t xml:space="preserve">Prompt injection &amp; untrusted content — </w:t>
      </w:r>
      <w:r>
        <w:t xml:space="preserve">An attacker hides instructions in a web page, document, ticket, or another agent's output; the agent obeys them as if they were its own directives.</w:t>
      </w:r>
    </w:p>
    <w:p>
      <w:pPr>
        <w:pStyle w:val="ListParagraph"/>
        <w:numPr>
          <w:ilvl w:val="0"/>
          <w:numId w:val="2"/>
        </w:numPr>
        <w:spacing w:after="80" w:line="276"/>
      </w:pPr>
      <w:r>
        <w:rPr>
          <w:b/>
          <w:bCs/>
        </w:rPr>
        <w:t xml:space="preserve">Excessive agency — </w:t>
      </w:r>
      <w:r>
        <w:t xml:space="preserve">An agent holds broad tool permissions and can perform far more than any single task requires — deleting resources, exfiltrating data, or escalating privilege.</w:t>
      </w:r>
    </w:p>
    <w:p>
      <w:pPr>
        <w:pStyle w:val="ListParagraph"/>
        <w:numPr>
          <w:ilvl w:val="0"/>
          <w:numId w:val="2"/>
        </w:numPr>
        <w:spacing w:after="80" w:line="276"/>
      </w:pPr>
      <w:r>
        <w:rPr>
          <w:b/>
          <w:bCs/>
        </w:rPr>
        <w:t xml:space="preserve">Irreversible actions — </w:t>
      </w:r>
      <w:r>
        <w:t xml:space="preserve">Unlike a chat reply, an agentic action (drop a database, revoke access, push a change) may be impossible to undo.</w:t>
      </w:r>
    </w:p>
    <w:p>
      <w:pPr>
        <w:pStyle w:val="ListParagraph"/>
        <w:numPr>
          <w:ilvl w:val="0"/>
          <w:numId w:val="2"/>
        </w:numPr>
        <w:spacing w:after="80" w:line="276"/>
      </w:pPr>
      <w:r>
        <w:rPr>
          <w:b/>
          <w:bCs/>
        </w:rPr>
        <w:t xml:space="preserve">Non-determinism — </w:t>
      </w:r>
      <w:r>
        <w:t xml:space="preserve">The same prompt can produce different behaviour, so ad-hoc “ask the model if it's safe” checks are neither reproducible nor auditable.</w:t>
      </w:r>
    </w:p>
    <w:p>
      <w:pPr>
        <w:pStyle w:val="ListParagraph"/>
        <w:numPr>
          <w:ilvl w:val="0"/>
          <w:numId w:val="2"/>
        </w:numPr>
        <w:spacing w:after="80" w:line="276"/>
      </w:pPr>
      <w:r>
        <w:rPr>
          <w:b/>
          <w:bCs/>
        </w:rPr>
        <w:t xml:space="preserve">Multi-agent propagation — </w:t>
      </w:r>
      <w:r>
        <w:t xml:space="preserve">Compromise or goal-drift can spread across a fleet of agents, amplifying a single failure.</w:t>
      </w:r>
    </w:p>
    <w:p>
      <w:pPr>
        <w:pStyle w:val="Heading3"/>
        <w:spacing w:after="80" w:before="180"/>
      </w:pPr>
      <w:r>
        <w:t xml:space="preserve">Why existing tools fall short</w:t>
      </w:r>
    </w:p>
    <w:p>
      <w:pPr>
        <w:spacing w:after="120" w:before="0" w:line="276"/>
      </w:pPr>
      <w:r>
        <w:t xml:space="preserve">Traditional application security scanners inspect code and dependencies; they were not built to reason about an agent's authority, the blast radius of a proposed action, or whether a change is reversible. Content filters catch toxic text but do not govern tool calls. And using an LLM to police another LLM re-introduces the very non-determinism and manipulability that created the problem. Enterprises need a control plane that is deterministic, fails closed, keeps a human in the loop for high-impact actions, and produces evidence an auditor can trust.</w:t>
      </w:r>
    </w:p>
    <w:tbl>
      <w:tblPr>
        <w:tblW w:type="dxa" w:w="9360"/>
        <w:tblBorders>
          <w:top w:val="single" w:color="E7F4F5" w:sz="2"/>
          <w:left w:val="single" w:color="0E7C86" w:sz="24"/>
          <w:bottom w:val="single" w:color="E7F4F5" w:sz="2"/>
          <w:right w:val="single" w:color="E7F4F5" w:sz="2"/>
          <w:insideH w:val="single" w:color="auto" w:sz="4"/>
          <w:insideV w:val="single" w:color="auto" w:sz="4"/>
        </w:tblBorders>
      </w:tblPr>
      <w:tblGrid>
        <w:gridCol w:w="9360"/>
      </w:tblGrid>
      <w:tr>
        <w:tc>
          <w:tcPr>
            <w:tcW w:type="dxa" w:w="9360"/>
            <w:shd w:fill="E7F4F5" w:color="auto" w:val="clear"/>
            <w:tcMar>
              <w:top w:type="dxa" w:w="120"/>
              <w:left w:type="dxa" w:w="180"/>
              <w:bottom w:type="dxa" w:w="120"/>
              <w:right w:type="dxa" w:w="160"/>
            </w:tcMar>
          </w:tcPr>
          <w:p>
            <w:pPr>
              <w:spacing w:after="60"/>
            </w:pPr>
            <w:r>
              <w:rPr>
                <w:b/>
                <w:bCs/>
                <w:color w:val="0E7C86"/>
              </w:rPr>
              <w:t xml:space="preserve">Why now</w:t>
            </w:r>
          </w:p>
          <w:p>
            <w:pPr>
              <w:spacing w:after="40" w:line="272"/>
            </w:pPr>
            <w:r>
              <w:t xml:space="preserve">Agent frameworks, MCP tooling, and autonomous orchestration are being adopted faster than governance for them exists. Regulation (EU AI Act) and published risk frameworks (OWASP LLM Top 10, NIST AI RMF) now expect demonstrable controls. AgentShield fills the gap between “the agent works” and “the agent is safe to let act.”</w:t>
            </w:r>
          </w:p>
        </w:tc>
      </w:tr>
    </w:tbl>
    <w:p>
      <w:pPr>
        <w:pStyle w:val="Heading1"/>
        <w:spacing w:after="160" w:before="320"/>
      </w:pPr>
      <w:r>
        <w:t xml:space="preserve">3. What AgentShield AI Does — Core Capabilities</w:t>
      </w:r>
    </w:p>
    <w:p>
      <w:pPr>
        <w:spacing w:after="120" w:before="0" w:line="276"/>
      </w:pPr>
      <w:r>
        <w:t xml:space="preserve">AgentShield is a governance and assurance agent for AI agents, agentic solutions, and deployment or orchestration systems. Its capabilities compose into a single pipeline:</w:t>
      </w:r>
    </w:p>
    <w:p>
      <w:pPr>
        <w:pStyle w:val="ListParagraph"/>
        <w:numPr>
          <w:ilvl w:val="0"/>
          <w:numId w:val="3"/>
        </w:numPr>
        <w:spacing w:after="80" w:line="276"/>
      </w:pPr>
      <w:r>
        <w:rPr>
          <w:b/>
          <w:bCs/>
        </w:rPr>
        <w:t xml:space="preserve">Assess design — </w:t>
      </w:r>
      <w:r>
        <w:t xml:space="preserve">Parse an agent definition into structured evidence and score ten assurance control families into a PASS / WARN / BLOCK posture.</w:t>
      </w:r>
    </w:p>
    <w:p>
      <w:pPr>
        <w:pStyle w:val="ListParagraph"/>
        <w:numPr>
          <w:ilvl w:val="0"/>
          <w:numId w:val="3"/>
        </w:numPr>
        <w:spacing w:after="80" w:line="276"/>
      </w:pPr>
      <w:r>
        <w:rPr>
          <w:b/>
          <w:bCs/>
        </w:rPr>
        <w:t xml:space="preserve">Intercept actions — </w:t>
      </w:r>
      <w:r>
        <w:t xml:space="preserve">Capture and hold a proposed action before it can reach any target.</w:t>
      </w:r>
    </w:p>
    <w:p>
      <w:pPr>
        <w:pStyle w:val="ListParagraph"/>
        <w:numPr>
          <w:ilvl w:val="0"/>
          <w:numId w:val="3"/>
        </w:numPr>
        <w:spacing w:after="80" w:line="276"/>
      </w:pPr>
      <w:r>
        <w:rPr>
          <w:b/>
          <w:bCs/>
        </w:rPr>
        <w:t xml:space="preserve">Predict impact — </w:t>
      </w:r>
      <w:r>
        <w:t xml:space="preserve">Score operational impact — reach, dependency scope, and reversibility — of the proposed action.</w:t>
      </w:r>
    </w:p>
    <w:p>
      <w:pPr>
        <w:pStyle w:val="ListParagraph"/>
        <w:numPr>
          <w:ilvl w:val="0"/>
          <w:numId w:val="3"/>
        </w:numPr>
        <w:spacing w:after="80" w:line="276"/>
      </w:pPr>
      <w:r>
        <w:rPr>
          <w:b/>
          <w:bCs/>
        </w:rPr>
        <w:t xml:space="preserve">Apply deterministic policy — </w:t>
      </w:r>
      <w:r>
        <w:t xml:space="preserve">Decide ALLOW / TRANSFORM / APPROVE / ESCALATE / DENY from versioned rules, never from a model.</w:t>
      </w:r>
    </w:p>
    <w:p>
      <w:pPr>
        <w:pStyle w:val="ListParagraph"/>
        <w:numPr>
          <w:ilvl w:val="0"/>
          <w:numId w:val="3"/>
        </w:numPr>
        <w:spacing w:after="80" w:line="276"/>
      </w:pPr>
      <w:r>
        <w:rPr>
          <w:b/>
          <w:bCs/>
        </w:rPr>
        <w:t xml:space="preserve">Route human approval — </w:t>
      </w:r>
      <w:r>
        <w:t xml:space="preserve">Bind an approval to a specific requester, action, plan hash, and expiry so it cannot be replayed or widened.</w:t>
      </w:r>
    </w:p>
    <w:p>
      <w:pPr>
        <w:pStyle w:val="ListParagraph"/>
        <w:numPr>
          <w:ilvl w:val="0"/>
          <w:numId w:val="3"/>
        </w:numPr>
        <w:spacing w:after="80" w:line="276"/>
      </w:pPr>
      <w:r>
        <w:rPr>
          <w:b/>
          <w:bCs/>
        </w:rPr>
        <w:t xml:space="preserve">Constrain execution — </w:t>
      </w:r>
      <w:r>
        <w:t xml:space="preserve">Produce a bounded, reversible plan with explicit stop conditions and meaning-preserving safety invariants.</w:t>
      </w:r>
    </w:p>
    <w:p>
      <w:pPr>
        <w:pStyle w:val="ListParagraph"/>
        <w:numPr>
          <w:ilvl w:val="0"/>
          <w:numId w:val="3"/>
        </w:numPr>
        <w:spacing w:after="80" w:line="276"/>
      </w:pPr>
      <w:r>
        <w:rPr>
          <w:b/>
          <w:bCs/>
        </w:rPr>
        <w:t xml:space="preserve">Validate outcome — </w:t>
      </w:r>
      <w:r>
        <w:t xml:space="preserve">Compare expected against observed behaviour and flag drift.</w:t>
      </w:r>
    </w:p>
    <w:p>
      <w:pPr>
        <w:pStyle w:val="ListParagraph"/>
        <w:numPr>
          <w:ilvl w:val="0"/>
          <w:numId w:val="3"/>
        </w:numPr>
        <w:spacing w:after="80" w:line="276"/>
      </w:pPr>
      <w:r>
        <w:rPr>
          <w:b/>
          <w:bCs/>
        </w:rPr>
        <w:t xml:space="preserve">Preserve evidence — </w:t>
      </w:r>
      <w:r>
        <w:t xml:space="preserve">Record every outcome — including denials and failures — in a tamper-evident audit ledger.</w:t>
      </w:r>
    </w:p>
    <w:p>
      <w:pPr>
        <w:pStyle w:val="Heading2"/>
        <w:spacing w:after="120" w:before="240"/>
      </w:pPr>
      <w:r>
        <w:t xml:space="preserve">3.1 Operating modes</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1900"/>
        <w:gridCol w:w="5560"/>
        <w:gridCol w:w="1900"/>
      </w:tblGrid>
      <w:tr>
        <w:trPr>
          <w:tblHeader/>
        </w:trPr>
        <w:tc>
          <w:tcPr>
            <w:tcW w:type="dxa" w:w="1900"/>
            <w:shd w:fill="0B1F3A" w:color="auto" w:val="clear"/>
            <w:tcMar>
              <w:top w:type="dxa" w:w="70"/>
              <w:left w:type="dxa" w:w="120"/>
              <w:bottom w:type="dxa" w:w="70"/>
              <w:right w:type="dxa" w:w="120"/>
            </w:tcMar>
            <w:vAlign w:val="center"/>
          </w:tcPr>
          <w:p>
            <w:pPr>
              <w:spacing w:after="0" w:line="264"/>
            </w:pPr>
            <w:r>
              <w:rPr>
                <w:b/>
                <w:bCs/>
                <w:color w:val="FFFFFF"/>
              </w:rPr>
              <w:t xml:space="preserve">Mode</w:t>
            </w:r>
          </w:p>
        </w:tc>
        <w:tc>
          <w:tcPr>
            <w:tcW w:type="dxa" w:w="5560"/>
            <w:shd w:fill="0B1F3A" w:color="auto" w:val="clear"/>
            <w:tcMar>
              <w:top w:type="dxa" w:w="70"/>
              <w:left w:type="dxa" w:w="120"/>
              <w:bottom w:type="dxa" w:w="70"/>
              <w:right w:type="dxa" w:w="120"/>
            </w:tcMar>
            <w:vAlign w:val="center"/>
          </w:tcPr>
          <w:p>
            <w:pPr>
              <w:spacing w:after="0" w:line="264"/>
            </w:pPr>
            <w:r>
              <w:rPr>
                <w:b/>
                <w:bCs/>
                <w:color w:val="FFFFFF"/>
              </w:rPr>
              <w:t xml:space="preserve">What it does</w:t>
            </w:r>
          </w:p>
        </w:tc>
        <w:tc>
          <w:tcPr>
            <w:tcW w:type="dxa" w:w="1900"/>
            <w:shd w:fill="0B1F3A" w:color="auto" w:val="clear"/>
            <w:tcMar>
              <w:top w:type="dxa" w:w="70"/>
              <w:left w:type="dxa" w:w="120"/>
              <w:bottom w:type="dxa" w:w="70"/>
              <w:right w:type="dxa" w:w="120"/>
            </w:tcMar>
            <w:vAlign w:val="center"/>
          </w:tcPr>
          <w:p>
            <w:pPr>
              <w:spacing w:after="0" w:line="264"/>
            </w:pPr>
            <w:r>
              <w:rPr>
                <w:b/>
                <w:bCs/>
                <w:color w:val="FFFFFF"/>
              </w:rPr>
              <w:t xml:space="preserve">Executes a target?</w:t>
            </w:r>
          </w:p>
        </w:tc>
      </w:tr>
      <w:tr>
        <w:tc>
          <w:tcPr>
            <w:tcW w:type="dxa" w:w="1900"/>
            <w:tcMar>
              <w:top w:type="dxa" w:w="70"/>
              <w:left w:type="dxa" w:w="120"/>
              <w:bottom w:type="dxa" w:w="70"/>
              <w:right w:type="dxa" w:w="120"/>
            </w:tcMar>
            <w:vAlign w:val="center"/>
          </w:tcPr>
          <w:p>
            <w:pPr>
              <w:spacing w:after="0" w:line="264"/>
            </w:pPr>
            <w:r>
              <w:t xml:space="preserve">ASSESS</w:t>
            </w:r>
          </w:p>
        </w:tc>
        <w:tc>
          <w:tcPr>
            <w:tcW w:type="dxa" w:w="5560"/>
            <w:tcMar>
              <w:top w:type="dxa" w:w="70"/>
              <w:left w:type="dxa" w:w="120"/>
              <w:bottom w:type="dxa" w:w="70"/>
              <w:right w:type="dxa" w:w="120"/>
            </w:tcMar>
            <w:vAlign w:val="center"/>
          </w:tcPr>
          <w:p>
            <w:pPr>
              <w:spacing w:after="0" w:line="264"/>
            </w:pPr>
            <w:r>
              <w:t xml:space="preserve">Evidence-based assurance posture from an agent definition.</w:t>
            </w:r>
          </w:p>
        </w:tc>
        <w:tc>
          <w:tcPr>
            <w:tcW w:type="dxa" w:w="1900"/>
            <w:tcMar>
              <w:top w:type="dxa" w:w="70"/>
              <w:left w:type="dxa" w:w="120"/>
              <w:bottom w:type="dxa" w:w="70"/>
              <w:right w:type="dxa" w:w="120"/>
            </w:tcMar>
            <w:vAlign w:val="center"/>
          </w:tcPr>
          <w:p>
            <w:pPr>
              <w:spacing w:after="0" w:line="264"/>
            </w:pPr>
            <w:r>
              <w:t xml:space="preserve">No</w:t>
            </w:r>
          </w:p>
        </w:tc>
      </w:tr>
      <w:tr>
        <w:tc>
          <w:tcPr>
            <w:tcW w:type="dxa" w:w="1900"/>
            <w:shd w:fill="F1F5F9" w:color="auto" w:val="clear"/>
            <w:tcMar>
              <w:top w:type="dxa" w:w="70"/>
              <w:left w:type="dxa" w:w="120"/>
              <w:bottom w:type="dxa" w:w="70"/>
              <w:right w:type="dxa" w:w="120"/>
            </w:tcMar>
            <w:vAlign w:val="center"/>
          </w:tcPr>
          <w:p>
            <w:pPr>
              <w:spacing w:after="0" w:line="264"/>
            </w:pPr>
            <w:r>
              <w:t xml:space="preserve">OBSERVE</w:t>
            </w:r>
          </w:p>
        </w:tc>
        <w:tc>
          <w:tcPr>
            <w:tcW w:type="dxa" w:w="5560"/>
            <w:shd w:fill="F1F5F9" w:color="auto" w:val="clear"/>
            <w:tcMar>
              <w:top w:type="dxa" w:w="70"/>
              <w:left w:type="dxa" w:w="120"/>
              <w:bottom w:type="dxa" w:w="70"/>
              <w:right w:type="dxa" w:w="120"/>
            </w:tcMar>
            <w:vAlign w:val="center"/>
          </w:tcPr>
          <w:p>
            <w:pPr>
              <w:spacing w:after="0" w:line="264"/>
            </w:pPr>
            <w:r>
              <w:t xml:space="preserve">Predicts impact and shows the decision that would occur.</w:t>
            </w:r>
          </w:p>
        </w:tc>
        <w:tc>
          <w:tcPr>
            <w:tcW w:type="dxa" w:w="1900"/>
            <w:shd w:fill="F1F5F9" w:color="auto" w:val="clear"/>
            <w:tcMar>
              <w:top w:type="dxa" w:w="70"/>
              <w:left w:type="dxa" w:w="120"/>
              <w:bottom w:type="dxa" w:w="70"/>
              <w:right w:type="dxa" w:w="120"/>
            </w:tcMar>
            <w:vAlign w:val="center"/>
          </w:tcPr>
          <w:p>
            <w:pPr>
              <w:spacing w:after="0" w:line="264"/>
            </w:pPr>
            <w:r>
              <w:t xml:space="preserve">No</w:t>
            </w:r>
          </w:p>
        </w:tc>
      </w:tr>
      <w:tr>
        <w:tc>
          <w:tcPr>
            <w:tcW w:type="dxa" w:w="1900"/>
            <w:tcMar>
              <w:top w:type="dxa" w:w="70"/>
              <w:left w:type="dxa" w:w="120"/>
              <w:bottom w:type="dxa" w:w="70"/>
              <w:right w:type="dxa" w:w="120"/>
            </w:tcMar>
            <w:vAlign w:val="center"/>
          </w:tcPr>
          <w:p>
            <w:pPr>
              <w:spacing w:after="0" w:line="264"/>
            </w:pPr>
            <w:r>
              <w:t xml:space="preserve">GOVERN</w:t>
            </w:r>
          </w:p>
        </w:tc>
        <w:tc>
          <w:tcPr>
            <w:tcW w:type="dxa" w:w="5560"/>
            <w:tcMar>
              <w:top w:type="dxa" w:w="70"/>
              <w:left w:type="dxa" w:w="120"/>
              <w:bottom w:type="dxa" w:w="70"/>
              <w:right w:type="dxa" w:w="120"/>
            </w:tcMar>
            <w:vAlign w:val="center"/>
          </w:tcPr>
          <w:p>
            <w:pPr>
              <w:spacing w:after="0" w:line="264"/>
            </w:pPr>
            <w:r>
              <w:t xml:space="preserve">Enforces deterministic policy and routes approval.</w:t>
            </w:r>
          </w:p>
        </w:tc>
        <w:tc>
          <w:tcPr>
            <w:tcW w:type="dxa" w:w="1900"/>
            <w:tcMar>
              <w:top w:type="dxa" w:w="70"/>
              <w:left w:type="dxa" w:w="120"/>
              <w:bottom w:type="dxa" w:w="70"/>
              <w:right w:type="dxa" w:w="120"/>
            </w:tcMar>
            <w:vAlign w:val="center"/>
          </w:tcPr>
          <w:p>
            <w:pPr>
              <w:spacing w:after="0" w:line="264"/>
            </w:pPr>
            <w:r>
              <w:t xml:space="preserve">No (AgentShield never executes)</w:t>
            </w:r>
          </w:p>
        </w:tc>
      </w:tr>
      <w:tr>
        <w:tc>
          <w:tcPr>
            <w:tcW w:type="dxa" w:w="1900"/>
            <w:shd w:fill="F1F5F9" w:color="auto" w:val="clear"/>
            <w:tcMar>
              <w:top w:type="dxa" w:w="70"/>
              <w:left w:type="dxa" w:w="120"/>
              <w:bottom w:type="dxa" w:w="70"/>
              <w:right w:type="dxa" w:w="120"/>
            </w:tcMar>
            <w:vAlign w:val="center"/>
          </w:tcPr>
          <w:p>
            <w:pPr>
              <w:spacing w:after="0" w:line="264"/>
            </w:pPr>
            <w:r>
              <w:t xml:space="preserve">CONTROLLED LIVE</w:t>
            </w:r>
          </w:p>
        </w:tc>
        <w:tc>
          <w:tcPr>
            <w:tcW w:type="dxa" w:w="5560"/>
            <w:shd w:fill="F1F5F9" w:color="auto" w:val="clear"/>
            <w:tcMar>
              <w:top w:type="dxa" w:w="70"/>
              <w:left w:type="dxa" w:w="120"/>
              <w:bottom w:type="dxa" w:w="70"/>
              <w:right w:type="dxa" w:w="120"/>
            </w:tcMar>
            <w:vAlign w:val="center"/>
          </w:tcPr>
          <w:p>
            <w:pPr>
              <w:spacing w:after="0" w:line="264"/>
            </w:pPr>
            <w:r>
              <w:t xml:space="preserve">Future production mode — disabled by default; requires a genuine, approved, least-privileged adapter.</w:t>
            </w:r>
          </w:p>
        </w:tc>
        <w:tc>
          <w:tcPr>
            <w:tcW w:type="dxa" w:w="1900"/>
            <w:shd w:fill="F1F5F9" w:color="auto" w:val="clear"/>
            <w:tcMar>
              <w:top w:type="dxa" w:w="70"/>
              <w:left w:type="dxa" w:w="120"/>
              <w:bottom w:type="dxa" w:w="70"/>
              <w:right w:type="dxa" w:w="120"/>
            </w:tcMar>
            <w:vAlign w:val="center"/>
          </w:tcPr>
          <w:p>
            <w:pPr>
              <w:spacing w:after="0" w:line="264"/>
            </w:pPr>
            <w:r>
              <w:t xml:space="preserve">Only via an approved external adapter</w:t>
            </w:r>
          </w:p>
        </w:tc>
      </w:tr>
    </w:tbl>
    <w:p>
      <w:pPr>
        <w:pStyle w:val="Heading2"/>
        <w:spacing w:after="120" w:before="240"/>
      </w:pPr>
      <w:r>
        <w:t xml:space="preserve">3.2 Named capabilities: BlastRadius &amp; ChangeShield</w:t>
      </w:r>
    </w:p>
    <w:p>
      <w:pPr>
        <w:spacing w:after="120" w:before="0" w:line="276"/>
      </w:pPr>
      <w:r>
        <w:t xml:space="preserve">Two of the seven gates are packaged as branded, user-facing capabilities. They are not separate products — they are names for capabilities the engine already implements.</w:t>
      </w:r>
    </w:p>
    <w:tbl>
      <w:tblPr>
        <w:tblW w:type="dxa" w:w="9360"/>
        <w:tblBorders>
          <w:top w:val="single" w:color="EEF3F9" w:sz="2"/>
          <w:left w:val="single" w:color="1C4E80" w:sz="24"/>
          <w:bottom w:val="single" w:color="EEF3F9" w:sz="2"/>
          <w:right w:val="single" w:color="EEF3F9" w:sz="2"/>
          <w:insideH w:val="single" w:color="auto" w:sz="4"/>
          <w:insideV w:val="single" w:color="auto" w:sz="4"/>
        </w:tblBorders>
      </w:tblPr>
      <w:tblGrid>
        <w:gridCol w:w="9360"/>
      </w:tblGrid>
      <w:tr>
        <w:tc>
          <w:tcPr>
            <w:tcW w:type="dxa" w:w="9360"/>
            <w:shd w:fill="EEF3F9" w:color="auto" w:val="clear"/>
            <w:tcMar>
              <w:top w:type="dxa" w:w="120"/>
              <w:left w:type="dxa" w:w="180"/>
              <w:bottom w:type="dxa" w:w="120"/>
              <w:right w:type="dxa" w:w="160"/>
            </w:tcMar>
          </w:tcPr>
          <w:p>
            <w:pPr>
              <w:spacing w:after="60"/>
            </w:pPr>
            <w:r>
              <w:rPr>
                <w:b/>
                <w:bCs/>
                <w:color w:val="1C4E80"/>
              </w:rPr>
              <w:t xml:space="preserve">BlastRadius — “what can this agent do, and how far does a change reach?”</w:t>
            </w:r>
          </w:p>
          <w:p>
            <w:pPr>
              <w:spacing w:after="40" w:line="272"/>
            </w:pPr>
            <w:r>
              <w:t xml:space="preserve">Identifies an agent's real capabilities (tools, permissions, trust boundaries) and predicts the operational reach, dependency scope, and reversibility of a proposed action. Powers Gate 0 (assurance audit) and Gate 3 (operational impact).</w:t>
            </w:r>
          </w:p>
        </w:tc>
      </w:tr>
    </w:tbl>
    <w:tbl>
      <w:tblPr>
        <w:tblW w:type="dxa" w:w="9360"/>
        <w:tblBorders>
          <w:top w:val="single" w:color="F1ECFA" w:sz="2"/>
          <w:left w:val="single" w:color="5B3E9B" w:sz="24"/>
          <w:bottom w:val="single" w:color="F1ECFA" w:sz="2"/>
          <w:right w:val="single" w:color="F1ECFA" w:sz="2"/>
          <w:insideH w:val="single" w:color="auto" w:sz="4"/>
          <w:insideV w:val="single" w:color="auto" w:sz="4"/>
        </w:tblBorders>
      </w:tblPr>
      <w:tblGrid>
        <w:gridCol w:w="9360"/>
      </w:tblGrid>
      <w:tr>
        <w:tc>
          <w:tcPr>
            <w:tcW w:type="dxa" w:w="9360"/>
            <w:shd w:fill="F1ECFA" w:color="auto" w:val="clear"/>
            <w:tcMar>
              <w:top w:type="dxa" w:w="120"/>
              <w:left w:type="dxa" w:w="180"/>
              <w:bottom w:type="dxa" w:w="120"/>
              <w:right w:type="dxa" w:w="160"/>
            </w:tcMar>
          </w:tcPr>
          <w:p>
            <w:pPr>
              <w:spacing w:after="60"/>
            </w:pPr>
            <w:r>
              <w:rPr>
                <w:b/>
                <w:bCs/>
                <w:color w:val="5B3E9B"/>
              </w:rPr>
              <w:t xml:space="preserve">ChangeShield — “which changes may the agent actually make?”</w:t>
            </w:r>
          </w:p>
          <w:p>
            <w:pPr>
              <w:spacing w:after="40" w:line="272"/>
            </w:pPr>
            <w:r>
              <w:t xml:space="preserve">Applies deterministic policy, enforces meaning-preserving safety invariants (add_disk never becomes remove_disk), and requires a constrained, reversible plan validated against the outcome. Powers Gate 4 (policy), Gate 6 (safe plan), and Gate 7 (validation).</w:t>
            </w:r>
          </w:p>
        </w:tc>
      </w:tr>
    </w:tbl>
    <w:p>
      <w:pPr>
        <w:spacing w:after="120" w:before="0" w:line="276"/>
      </w:pPr>
      <w:r>
        <w:t xml:space="preserve">Put simply: </w:t>
      </w:r>
      <w:r>
        <w:rPr>
          <w:b/>
          <w:bCs/>
        </w:rPr>
        <w:t xml:space="preserve">BlastRadius measures what is at stake; ChangeShield decides and bounds what may change.</w:t>
      </w:r>
    </w:p>
    <w:p>
      <w:r>
        <w:br w:type="page"/>
      </w:r>
    </w:p>
    <w:p>
      <w:pPr>
        <w:pStyle w:val="Heading1"/>
        <w:spacing w:after="160" w:before="320"/>
      </w:pPr>
      <w:r>
        <w:t xml:space="preserve">4. The Seven-Gate Workflow</w:t>
      </w:r>
    </w:p>
    <w:p>
      <w:pPr>
        <w:spacing w:after="120" w:before="0" w:line="276"/>
      </w:pPr>
      <w:r>
        <w:t xml:space="preserve">AgentShield governs an action as a deterministic pipeline of gates orchestrated end to end (agentshield/workflow.py). Each gate has a single responsibility, a stable identifier, and its own tests. The workflow fails closed: unknown identities, unavailable policy, invalid approvals, and high-risk missing evidence all resolve to the safe outcome.</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700"/>
        <w:gridCol w:w="2400"/>
        <w:gridCol w:w="1900"/>
        <w:gridCol w:w="4360"/>
      </w:tblGrid>
      <w:tr>
        <w:trPr>
          <w:tblHeader/>
        </w:trPr>
        <w:tc>
          <w:tcPr>
            <w:tcW w:type="dxa" w:w="700"/>
            <w:shd w:fill="0B1F3A" w:color="auto" w:val="clear"/>
            <w:tcMar>
              <w:top w:type="dxa" w:w="70"/>
              <w:left w:type="dxa" w:w="120"/>
              <w:bottom w:type="dxa" w:w="70"/>
              <w:right w:type="dxa" w:w="120"/>
            </w:tcMar>
            <w:vAlign w:val="center"/>
          </w:tcPr>
          <w:p>
            <w:pPr>
              <w:spacing w:after="0" w:line="264"/>
            </w:pPr>
            <w:r>
              <w:rPr>
                <w:b/>
                <w:bCs/>
                <w:color w:val="FFFFFF"/>
              </w:rPr>
              <w:t xml:space="preserve">Gate</w:t>
            </w:r>
          </w:p>
        </w:tc>
        <w:tc>
          <w:tcPr>
            <w:tcW w:type="dxa" w:w="2400"/>
            <w:shd w:fill="0B1F3A" w:color="auto" w:val="clear"/>
            <w:tcMar>
              <w:top w:type="dxa" w:w="70"/>
              <w:left w:type="dxa" w:w="120"/>
              <w:bottom w:type="dxa" w:w="70"/>
              <w:right w:type="dxa" w:w="120"/>
            </w:tcMar>
            <w:vAlign w:val="center"/>
          </w:tcPr>
          <w:p>
            <w:pPr>
              <w:spacing w:after="0" w:line="264"/>
            </w:pPr>
            <w:r>
              <w:rPr>
                <w:b/>
                <w:bCs/>
                <w:color w:val="FFFFFF"/>
              </w:rPr>
              <w:t xml:space="preserve">Name</w:t>
            </w:r>
          </w:p>
        </w:tc>
        <w:tc>
          <w:tcPr>
            <w:tcW w:type="dxa" w:w="1900"/>
            <w:shd w:fill="0B1F3A" w:color="auto" w:val="clear"/>
            <w:tcMar>
              <w:top w:type="dxa" w:w="70"/>
              <w:left w:type="dxa" w:w="120"/>
              <w:bottom w:type="dxa" w:w="70"/>
              <w:right w:type="dxa" w:w="120"/>
            </w:tcMar>
            <w:vAlign w:val="center"/>
          </w:tcPr>
          <w:p>
            <w:pPr>
              <w:spacing w:after="0" w:line="264"/>
            </w:pPr>
            <w:r>
              <w:rPr>
                <w:b/>
                <w:bCs/>
                <w:color w:val="FFFFFF"/>
              </w:rPr>
              <w:t xml:space="preserve">Module</w:t>
            </w:r>
          </w:p>
        </w:tc>
        <w:tc>
          <w:tcPr>
            <w:tcW w:type="dxa" w:w="4360"/>
            <w:shd w:fill="0B1F3A" w:color="auto" w:val="clear"/>
            <w:tcMar>
              <w:top w:type="dxa" w:w="70"/>
              <w:left w:type="dxa" w:w="120"/>
              <w:bottom w:type="dxa" w:w="70"/>
              <w:right w:type="dxa" w:w="120"/>
            </w:tcMar>
            <w:vAlign w:val="center"/>
          </w:tcPr>
          <w:p>
            <w:pPr>
              <w:spacing w:after="0" w:line="264"/>
            </w:pPr>
            <w:r>
              <w:rPr>
                <w:b/>
                <w:bCs/>
                <w:color w:val="FFFFFF"/>
              </w:rPr>
              <w:t xml:space="preserve">Responsibility</w:t>
            </w:r>
          </w:p>
        </w:tc>
      </w:tr>
      <w:tr>
        <w:tc>
          <w:tcPr>
            <w:tcW w:type="dxa" w:w="700"/>
            <w:tcMar>
              <w:top w:type="dxa" w:w="70"/>
              <w:left w:type="dxa" w:w="120"/>
              <w:bottom w:type="dxa" w:w="70"/>
              <w:right w:type="dxa" w:w="120"/>
            </w:tcMar>
            <w:vAlign w:val="center"/>
          </w:tcPr>
          <w:p>
            <w:pPr>
              <w:spacing w:after="0" w:line="264"/>
            </w:pPr>
            <w:r>
              <w:t xml:space="preserve">0</w:t>
            </w:r>
          </w:p>
        </w:tc>
        <w:tc>
          <w:tcPr>
            <w:tcW w:type="dxa" w:w="2400"/>
            <w:tcMar>
              <w:top w:type="dxa" w:w="70"/>
              <w:left w:type="dxa" w:w="120"/>
              <w:bottom w:type="dxa" w:w="70"/>
              <w:right w:type="dxa" w:w="120"/>
            </w:tcMar>
            <w:vAlign w:val="center"/>
          </w:tcPr>
          <w:p>
            <w:pPr>
              <w:spacing w:after="0" w:line="264"/>
            </w:pPr>
            <w:r>
              <w:t xml:space="preserve">Assurance audit</w:t>
            </w:r>
          </w:p>
        </w:tc>
        <w:tc>
          <w:tcPr>
            <w:tcW w:type="dxa" w:w="1900"/>
            <w:tcMar>
              <w:top w:type="dxa" w:w="70"/>
              <w:left w:type="dxa" w:w="120"/>
              <w:bottom w:type="dxa" w:w="70"/>
              <w:right w:type="dxa" w:w="120"/>
            </w:tcMar>
            <w:vAlign w:val="center"/>
          </w:tcPr>
          <w:p>
            <w:pPr>
              <w:spacing w:after="0" w:line="264"/>
            </w:pPr>
            <w:r>
              <w:t xml:space="preserve">assurance.py</w:t>
            </w:r>
          </w:p>
        </w:tc>
        <w:tc>
          <w:tcPr>
            <w:tcW w:type="dxa" w:w="4360"/>
            <w:tcMar>
              <w:top w:type="dxa" w:w="70"/>
              <w:left w:type="dxa" w:w="120"/>
              <w:bottom w:type="dxa" w:w="70"/>
              <w:right w:type="dxa" w:w="120"/>
            </w:tcMar>
            <w:vAlign w:val="center"/>
          </w:tcPr>
          <w:p>
            <w:pPr>
              <w:spacing w:after="0" w:line="264"/>
            </w:pPr>
            <w:r>
              <w:t xml:space="preserve">Score ten control families → PASS / WARN / BLOCK.</w:t>
            </w:r>
          </w:p>
        </w:tc>
      </w:tr>
      <w:tr>
        <w:tc>
          <w:tcPr>
            <w:tcW w:type="dxa" w:w="700"/>
            <w:shd w:fill="F1F5F9" w:color="auto" w:val="clear"/>
            <w:tcMar>
              <w:top w:type="dxa" w:w="70"/>
              <w:left w:type="dxa" w:w="120"/>
              <w:bottom w:type="dxa" w:w="70"/>
              <w:right w:type="dxa" w:w="120"/>
            </w:tcMar>
            <w:vAlign w:val="center"/>
          </w:tcPr>
          <w:p>
            <w:pPr>
              <w:spacing w:after="0" w:line="264"/>
            </w:pPr>
            <w:r>
              <w:t xml:space="preserve">1</w:t>
            </w:r>
          </w:p>
        </w:tc>
        <w:tc>
          <w:tcPr>
            <w:tcW w:type="dxa" w:w="2400"/>
            <w:shd w:fill="F1F5F9" w:color="auto" w:val="clear"/>
            <w:tcMar>
              <w:top w:type="dxa" w:w="70"/>
              <w:left w:type="dxa" w:w="120"/>
              <w:bottom w:type="dxa" w:w="70"/>
              <w:right w:type="dxa" w:w="120"/>
            </w:tcMar>
            <w:vAlign w:val="center"/>
          </w:tcPr>
          <w:p>
            <w:pPr>
              <w:spacing w:after="0" w:line="264"/>
            </w:pPr>
            <w:r>
              <w:t xml:space="preserve">Action interception</w:t>
            </w:r>
          </w:p>
        </w:tc>
        <w:tc>
          <w:tcPr>
            <w:tcW w:type="dxa" w:w="1900"/>
            <w:shd w:fill="F1F5F9" w:color="auto" w:val="clear"/>
            <w:tcMar>
              <w:top w:type="dxa" w:w="70"/>
              <w:left w:type="dxa" w:w="120"/>
              <w:bottom w:type="dxa" w:w="70"/>
              <w:right w:type="dxa" w:w="120"/>
            </w:tcMar>
            <w:vAlign w:val="center"/>
          </w:tcPr>
          <w:p>
            <w:pPr>
              <w:spacing w:after="0" w:line="264"/>
            </w:pPr>
            <w:r>
              <w:t xml:space="preserve">interception.py</w:t>
            </w:r>
          </w:p>
        </w:tc>
        <w:tc>
          <w:tcPr>
            <w:tcW w:type="dxa" w:w="4360"/>
            <w:shd w:fill="F1F5F9" w:color="auto" w:val="clear"/>
            <w:tcMar>
              <w:top w:type="dxa" w:w="70"/>
              <w:left w:type="dxa" w:w="120"/>
              <w:bottom w:type="dxa" w:w="70"/>
              <w:right w:type="dxa" w:w="120"/>
            </w:tcMar>
            <w:vAlign w:val="center"/>
          </w:tcPr>
          <w:p>
            <w:pPr>
              <w:spacing w:after="0" w:line="264"/>
            </w:pPr>
            <w:r>
              <w:t xml:space="preserve">Capture and hold a proposed action before it reaches a target.</w:t>
            </w:r>
          </w:p>
        </w:tc>
      </w:tr>
      <w:tr>
        <w:tc>
          <w:tcPr>
            <w:tcW w:type="dxa" w:w="700"/>
            <w:tcMar>
              <w:top w:type="dxa" w:w="70"/>
              <w:left w:type="dxa" w:w="120"/>
              <w:bottom w:type="dxa" w:w="70"/>
              <w:right w:type="dxa" w:w="120"/>
            </w:tcMar>
            <w:vAlign w:val="center"/>
          </w:tcPr>
          <w:p>
            <w:pPr>
              <w:spacing w:after="0" w:line="264"/>
            </w:pPr>
            <w:r>
              <w:t xml:space="preserve">2</w:t>
            </w:r>
          </w:p>
        </w:tc>
        <w:tc>
          <w:tcPr>
            <w:tcW w:type="dxa" w:w="2400"/>
            <w:tcMar>
              <w:top w:type="dxa" w:w="70"/>
              <w:left w:type="dxa" w:w="120"/>
              <w:bottom w:type="dxa" w:w="70"/>
              <w:right w:type="dxa" w:w="120"/>
            </w:tcMar>
            <w:vAlign w:val="center"/>
          </w:tcPr>
          <w:p>
            <w:pPr>
              <w:spacing w:after="0" w:line="264"/>
            </w:pPr>
            <w:r>
              <w:t xml:space="preserve">Identity &amp; assurance context</w:t>
            </w:r>
          </w:p>
        </w:tc>
        <w:tc>
          <w:tcPr>
            <w:tcW w:type="dxa" w:w="1900"/>
            <w:tcMar>
              <w:top w:type="dxa" w:w="70"/>
              <w:left w:type="dxa" w:w="120"/>
              <w:bottom w:type="dxa" w:w="70"/>
              <w:right w:type="dxa" w:w="120"/>
            </w:tcMar>
            <w:vAlign w:val="center"/>
          </w:tcPr>
          <w:p>
            <w:pPr>
              <w:spacing w:after="0" w:line="264"/>
            </w:pPr>
            <w:r>
              <w:t xml:space="preserve">workflow.py</w:t>
            </w:r>
          </w:p>
        </w:tc>
        <w:tc>
          <w:tcPr>
            <w:tcW w:type="dxa" w:w="4360"/>
            <w:tcMar>
              <w:top w:type="dxa" w:w="70"/>
              <w:left w:type="dxa" w:w="120"/>
              <w:bottom w:type="dxa" w:w="70"/>
              <w:right w:type="dxa" w:w="120"/>
            </w:tcMar>
            <w:vAlign w:val="center"/>
          </w:tcPr>
          <w:p>
            <w:pPr>
              <w:spacing w:after="0" w:line="264"/>
            </w:pPr>
            <w:r>
              <w:t xml:space="preserve">Resolve the requester's identity and attach assurance context; fail closed on unknown identity.</w:t>
            </w:r>
          </w:p>
        </w:tc>
      </w:tr>
      <w:tr>
        <w:tc>
          <w:tcPr>
            <w:tcW w:type="dxa" w:w="700"/>
            <w:shd w:fill="F1F5F9" w:color="auto" w:val="clear"/>
            <w:tcMar>
              <w:top w:type="dxa" w:w="70"/>
              <w:left w:type="dxa" w:w="120"/>
              <w:bottom w:type="dxa" w:w="70"/>
              <w:right w:type="dxa" w:w="120"/>
            </w:tcMar>
            <w:vAlign w:val="center"/>
          </w:tcPr>
          <w:p>
            <w:pPr>
              <w:spacing w:after="0" w:line="264"/>
            </w:pPr>
            <w:r>
              <w:t xml:space="preserve">3</w:t>
            </w:r>
          </w:p>
        </w:tc>
        <w:tc>
          <w:tcPr>
            <w:tcW w:type="dxa" w:w="2400"/>
            <w:shd w:fill="F1F5F9" w:color="auto" w:val="clear"/>
            <w:tcMar>
              <w:top w:type="dxa" w:w="70"/>
              <w:left w:type="dxa" w:w="120"/>
              <w:bottom w:type="dxa" w:w="70"/>
              <w:right w:type="dxa" w:w="120"/>
            </w:tcMar>
            <w:vAlign w:val="center"/>
          </w:tcPr>
          <w:p>
            <w:pPr>
              <w:spacing w:after="0" w:line="264"/>
            </w:pPr>
            <w:r>
              <w:t xml:space="preserve">Operational impact</w:t>
            </w:r>
          </w:p>
        </w:tc>
        <w:tc>
          <w:tcPr>
            <w:tcW w:type="dxa" w:w="1900"/>
            <w:shd w:fill="F1F5F9" w:color="auto" w:val="clear"/>
            <w:tcMar>
              <w:top w:type="dxa" w:w="70"/>
              <w:left w:type="dxa" w:w="120"/>
              <w:bottom w:type="dxa" w:w="70"/>
              <w:right w:type="dxa" w:w="120"/>
            </w:tcMar>
            <w:vAlign w:val="center"/>
          </w:tcPr>
          <w:p>
            <w:pPr>
              <w:spacing w:after="0" w:line="264"/>
            </w:pPr>
            <w:r>
              <w:t xml:space="preserve">impact.py</w:t>
            </w:r>
          </w:p>
        </w:tc>
        <w:tc>
          <w:tcPr>
            <w:tcW w:type="dxa" w:w="4360"/>
            <w:shd w:fill="F1F5F9" w:color="auto" w:val="clear"/>
            <w:tcMar>
              <w:top w:type="dxa" w:w="70"/>
              <w:left w:type="dxa" w:w="120"/>
              <w:bottom w:type="dxa" w:w="70"/>
              <w:right w:type="dxa" w:w="120"/>
            </w:tcMar>
            <w:vAlign w:val="center"/>
          </w:tcPr>
          <w:p>
            <w:pPr>
              <w:spacing w:after="0" w:line="264"/>
            </w:pPr>
            <w:r>
              <w:t xml:space="preserve">Score reach, dependency scope, and reversibility (BlastRadius).</w:t>
            </w:r>
          </w:p>
        </w:tc>
      </w:tr>
      <w:tr>
        <w:tc>
          <w:tcPr>
            <w:tcW w:type="dxa" w:w="700"/>
            <w:tcMar>
              <w:top w:type="dxa" w:w="70"/>
              <w:left w:type="dxa" w:w="120"/>
              <w:bottom w:type="dxa" w:w="70"/>
              <w:right w:type="dxa" w:w="120"/>
            </w:tcMar>
            <w:vAlign w:val="center"/>
          </w:tcPr>
          <w:p>
            <w:pPr>
              <w:spacing w:after="0" w:line="264"/>
            </w:pPr>
            <w:r>
              <w:t xml:space="preserve">4</w:t>
            </w:r>
          </w:p>
        </w:tc>
        <w:tc>
          <w:tcPr>
            <w:tcW w:type="dxa" w:w="2400"/>
            <w:tcMar>
              <w:top w:type="dxa" w:w="70"/>
              <w:left w:type="dxa" w:w="120"/>
              <w:bottom w:type="dxa" w:w="70"/>
              <w:right w:type="dxa" w:w="120"/>
            </w:tcMar>
            <w:vAlign w:val="center"/>
          </w:tcPr>
          <w:p>
            <w:pPr>
              <w:spacing w:after="0" w:line="264"/>
            </w:pPr>
            <w:r>
              <w:t xml:space="preserve">Deterministic policy</w:t>
            </w:r>
          </w:p>
        </w:tc>
        <w:tc>
          <w:tcPr>
            <w:tcW w:type="dxa" w:w="1900"/>
            <w:tcMar>
              <w:top w:type="dxa" w:w="70"/>
              <w:left w:type="dxa" w:w="120"/>
              <w:bottom w:type="dxa" w:w="70"/>
              <w:right w:type="dxa" w:w="120"/>
            </w:tcMar>
            <w:vAlign w:val="center"/>
          </w:tcPr>
          <w:p>
            <w:pPr>
              <w:spacing w:after="0" w:line="264"/>
            </w:pPr>
            <w:r>
              <w:t xml:space="preserve">policy.py</w:t>
            </w:r>
          </w:p>
        </w:tc>
        <w:tc>
          <w:tcPr>
            <w:tcW w:type="dxa" w:w="4360"/>
            <w:tcMar>
              <w:top w:type="dxa" w:w="70"/>
              <w:left w:type="dxa" w:w="120"/>
              <w:bottom w:type="dxa" w:w="70"/>
              <w:right w:type="dxa" w:w="120"/>
            </w:tcMar>
            <w:vAlign w:val="center"/>
          </w:tcPr>
          <w:p>
            <w:pPr>
              <w:spacing w:after="0" w:line="264"/>
            </w:pPr>
            <w:r>
              <w:t xml:space="preserve">Decide ALLOW / TRANSFORM / APPROVE / ESCALATE / DENY from versioned rules.</w:t>
            </w:r>
          </w:p>
        </w:tc>
      </w:tr>
      <w:tr>
        <w:tc>
          <w:tcPr>
            <w:tcW w:type="dxa" w:w="700"/>
            <w:shd w:fill="F1F5F9" w:color="auto" w:val="clear"/>
            <w:tcMar>
              <w:top w:type="dxa" w:w="70"/>
              <w:left w:type="dxa" w:w="120"/>
              <w:bottom w:type="dxa" w:w="70"/>
              <w:right w:type="dxa" w:w="120"/>
            </w:tcMar>
            <w:vAlign w:val="center"/>
          </w:tcPr>
          <w:p>
            <w:pPr>
              <w:spacing w:after="0" w:line="264"/>
            </w:pPr>
            <w:r>
              <w:t xml:space="preserve">5</w:t>
            </w:r>
          </w:p>
        </w:tc>
        <w:tc>
          <w:tcPr>
            <w:tcW w:type="dxa" w:w="2400"/>
            <w:shd w:fill="F1F5F9" w:color="auto" w:val="clear"/>
            <w:tcMar>
              <w:top w:type="dxa" w:w="70"/>
              <w:left w:type="dxa" w:w="120"/>
              <w:bottom w:type="dxa" w:w="70"/>
              <w:right w:type="dxa" w:w="120"/>
            </w:tcMar>
            <w:vAlign w:val="center"/>
          </w:tcPr>
          <w:p>
            <w:pPr>
              <w:spacing w:after="0" w:line="264"/>
            </w:pPr>
            <w:r>
              <w:t xml:space="preserve">Human approval</w:t>
            </w:r>
          </w:p>
        </w:tc>
        <w:tc>
          <w:tcPr>
            <w:tcW w:type="dxa" w:w="1900"/>
            <w:shd w:fill="F1F5F9" w:color="auto" w:val="clear"/>
            <w:tcMar>
              <w:top w:type="dxa" w:w="70"/>
              <w:left w:type="dxa" w:w="120"/>
              <w:bottom w:type="dxa" w:w="70"/>
              <w:right w:type="dxa" w:w="120"/>
            </w:tcMar>
            <w:vAlign w:val="center"/>
          </w:tcPr>
          <w:p>
            <w:pPr>
              <w:spacing w:after="0" w:line="264"/>
            </w:pPr>
            <w:r>
              <w:t xml:space="preserve">approvals.py</w:t>
            </w:r>
          </w:p>
        </w:tc>
        <w:tc>
          <w:tcPr>
            <w:tcW w:type="dxa" w:w="4360"/>
            <w:shd w:fill="F1F5F9" w:color="auto" w:val="clear"/>
            <w:tcMar>
              <w:top w:type="dxa" w:w="70"/>
              <w:left w:type="dxa" w:w="120"/>
              <w:bottom w:type="dxa" w:w="70"/>
              <w:right w:type="dxa" w:w="120"/>
            </w:tcMar>
            <w:vAlign w:val="center"/>
          </w:tcPr>
          <w:p>
            <w:pPr>
              <w:spacing w:after="0" w:line="264"/>
            </w:pPr>
            <w:r>
              <w:t xml:space="preserve">Bind approval to requester, action, plan hash, and expiry.</w:t>
            </w:r>
          </w:p>
        </w:tc>
      </w:tr>
      <w:tr>
        <w:tc>
          <w:tcPr>
            <w:tcW w:type="dxa" w:w="700"/>
            <w:tcMar>
              <w:top w:type="dxa" w:w="70"/>
              <w:left w:type="dxa" w:w="120"/>
              <w:bottom w:type="dxa" w:w="70"/>
              <w:right w:type="dxa" w:w="120"/>
            </w:tcMar>
            <w:vAlign w:val="center"/>
          </w:tcPr>
          <w:p>
            <w:pPr>
              <w:spacing w:after="0" w:line="264"/>
            </w:pPr>
            <w:r>
              <w:t xml:space="preserve">6</w:t>
            </w:r>
          </w:p>
        </w:tc>
        <w:tc>
          <w:tcPr>
            <w:tcW w:type="dxa" w:w="2400"/>
            <w:tcMar>
              <w:top w:type="dxa" w:w="70"/>
              <w:left w:type="dxa" w:w="120"/>
              <w:bottom w:type="dxa" w:w="70"/>
              <w:right w:type="dxa" w:w="120"/>
            </w:tcMar>
            <w:vAlign w:val="center"/>
          </w:tcPr>
          <w:p>
            <w:pPr>
              <w:spacing w:after="0" w:line="264"/>
            </w:pPr>
            <w:r>
              <w:t xml:space="preserve">Constrained safe plan</w:t>
            </w:r>
          </w:p>
        </w:tc>
        <w:tc>
          <w:tcPr>
            <w:tcW w:type="dxa" w:w="1900"/>
            <w:tcMar>
              <w:top w:type="dxa" w:w="70"/>
              <w:left w:type="dxa" w:w="120"/>
              <w:bottom w:type="dxa" w:w="70"/>
              <w:right w:type="dxa" w:w="120"/>
            </w:tcMar>
            <w:vAlign w:val="center"/>
          </w:tcPr>
          <w:p>
            <w:pPr>
              <w:spacing w:after="0" w:line="264"/>
            </w:pPr>
            <w:r>
              <w:t xml:space="preserve">planning.py</w:t>
            </w:r>
          </w:p>
        </w:tc>
        <w:tc>
          <w:tcPr>
            <w:tcW w:type="dxa" w:w="4360"/>
            <w:tcMar>
              <w:top w:type="dxa" w:w="70"/>
              <w:left w:type="dxa" w:w="120"/>
              <w:bottom w:type="dxa" w:w="70"/>
              <w:right w:type="dxa" w:w="120"/>
            </w:tcMar>
            <w:vAlign w:val="center"/>
          </w:tcPr>
          <w:p>
            <w:pPr>
              <w:spacing w:after="0" w:line="264"/>
            </w:pPr>
            <w:r>
              <w:t xml:space="preserve">Emit a bounded, reversible plan with stop conditions and safety invariants.</w:t>
            </w:r>
          </w:p>
        </w:tc>
      </w:tr>
      <w:tr>
        <w:tc>
          <w:tcPr>
            <w:tcW w:type="dxa" w:w="700"/>
            <w:shd w:fill="F1F5F9" w:color="auto" w:val="clear"/>
            <w:tcMar>
              <w:top w:type="dxa" w:w="70"/>
              <w:left w:type="dxa" w:w="120"/>
              <w:bottom w:type="dxa" w:w="70"/>
              <w:right w:type="dxa" w:w="120"/>
            </w:tcMar>
            <w:vAlign w:val="center"/>
          </w:tcPr>
          <w:p>
            <w:pPr>
              <w:spacing w:after="0" w:line="264"/>
            </w:pPr>
            <w:r>
              <w:t xml:space="preserve">7</w:t>
            </w:r>
          </w:p>
        </w:tc>
        <w:tc>
          <w:tcPr>
            <w:tcW w:type="dxa" w:w="2400"/>
            <w:shd w:fill="F1F5F9" w:color="auto" w:val="clear"/>
            <w:tcMar>
              <w:top w:type="dxa" w:w="70"/>
              <w:left w:type="dxa" w:w="120"/>
              <w:bottom w:type="dxa" w:w="70"/>
              <w:right w:type="dxa" w:w="120"/>
            </w:tcMar>
            <w:vAlign w:val="center"/>
          </w:tcPr>
          <w:p>
            <w:pPr>
              <w:spacing w:after="0" w:line="264"/>
            </w:pPr>
            <w:r>
              <w:t xml:space="preserve">Outcome validation</w:t>
            </w:r>
          </w:p>
        </w:tc>
        <w:tc>
          <w:tcPr>
            <w:tcW w:type="dxa" w:w="1900"/>
            <w:shd w:fill="F1F5F9" w:color="auto" w:val="clear"/>
            <w:tcMar>
              <w:top w:type="dxa" w:w="70"/>
              <w:left w:type="dxa" w:w="120"/>
              <w:bottom w:type="dxa" w:w="70"/>
              <w:right w:type="dxa" w:w="120"/>
            </w:tcMar>
            <w:vAlign w:val="center"/>
          </w:tcPr>
          <w:p>
            <w:pPr>
              <w:spacing w:after="0" w:line="264"/>
            </w:pPr>
            <w:r>
              <w:t xml:space="preserve">validation.py</w:t>
            </w:r>
          </w:p>
        </w:tc>
        <w:tc>
          <w:tcPr>
            <w:tcW w:type="dxa" w:w="4360"/>
            <w:shd w:fill="F1F5F9" w:color="auto" w:val="clear"/>
            <w:tcMar>
              <w:top w:type="dxa" w:w="70"/>
              <w:left w:type="dxa" w:w="120"/>
              <w:bottom w:type="dxa" w:w="70"/>
              <w:right w:type="dxa" w:w="120"/>
            </w:tcMar>
            <w:vAlign w:val="center"/>
          </w:tcPr>
          <w:p>
            <w:pPr>
              <w:spacing w:after="0" w:line="264"/>
            </w:pPr>
            <w:r>
              <w:t xml:space="preserve">Compare expected vs observed behaviour and flag drift.</w:t>
            </w:r>
          </w:p>
        </w:tc>
      </w:tr>
    </w:tbl>
    <w:p>
      <w:pPr>
        <w:spacing w:after="60"/>
      </w:pPr>
      <w:r>
        <w:t xml:space="preserve"/>
      </w:r>
    </w:p>
    <w:p>
      <w:pPr>
        <w:pStyle w:val="Heading3"/>
        <w:spacing w:after="80" w:before="180"/>
      </w:pPr>
      <w:r>
        <w:t xml:space="preserve">Gate-by-gate detail</w:t>
      </w:r>
    </w:p>
    <w:p>
      <w:pPr>
        <w:pStyle w:val="ListParagraph"/>
        <w:numPr>
          <w:ilvl w:val="0"/>
          <w:numId w:val="2"/>
        </w:numPr>
        <w:spacing w:after="80" w:line="276"/>
      </w:pPr>
      <w:r>
        <w:rPr>
          <w:b/>
          <w:bCs/>
        </w:rPr>
        <w:t xml:space="preserve">Gate 0 — Assurance audit — </w:t>
      </w:r>
      <w:r>
        <w:t xml:space="preserve">Parses the agent definition into evidence and scores ten weighted control families (ASF-01..10). Hard-BLOCK conditions (e.g., missing critical families such as instruction-hierarchy or fail-closed behaviour) force BLOCK regardless of the weighted total. Output: posture + per-family evaluation + findings.</w:t>
      </w:r>
    </w:p>
    <w:p>
      <w:pPr>
        <w:pStyle w:val="ListParagraph"/>
        <w:numPr>
          <w:ilvl w:val="0"/>
          <w:numId w:val="2"/>
        </w:numPr>
        <w:spacing w:after="80" w:line="276"/>
      </w:pPr>
      <w:r>
        <w:rPr>
          <w:b/>
          <w:bCs/>
        </w:rPr>
        <w:t xml:space="preserve">Gate 1 — Action interception — </w:t>
      </w:r>
      <w:r>
        <w:t xml:space="preserve">Represents a proposed action as inert, structured data and holds it. Nothing downstream can act until the remaining gates complete.</w:t>
      </w:r>
    </w:p>
    <w:p>
      <w:pPr>
        <w:pStyle w:val="ListParagraph"/>
        <w:numPr>
          <w:ilvl w:val="0"/>
          <w:numId w:val="2"/>
        </w:numPr>
        <w:spacing w:after="80" w:line="276"/>
      </w:pPr>
      <w:r>
        <w:rPr>
          <w:b/>
          <w:bCs/>
        </w:rPr>
        <w:t xml:space="preserve">Gate 2 — Identity &amp; assurance context — </w:t>
      </w:r>
      <w:r>
        <w:t xml:space="preserve">Establishes who is requesting the action and attaches the assurance posture as context. An unknown or unresolved identity fails closed.</w:t>
      </w:r>
    </w:p>
    <w:p>
      <w:pPr>
        <w:pStyle w:val="ListParagraph"/>
        <w:numPr>
          <w:ilvl w:val="0"/>
          <w:numId w:val="2"/>
        </w:numPr>
        <w:spacing w:after="80" w:line="276"/>
      </w:pPr>
      <w:r>
        <w:rPr>
          <w:b/>
          <w:bCs/>
        </w:rPr>
        <w:t xml:space="preserve">Gate 3 — Operational impact — </w:t>
      </w:r>
      <w:r>
        <w:t xml:space="preserve">Scores the proposed action's blast radius: how far it reaches, how many dependencies it touches, and whether it is reversible. High-impact, irreversible actions raise the bar for approval.</w:t>
      </w:r>
    </w:p>
    <w:p>
      <w:pPr>
        <w:pStyle w:val="ListParagraph"/>
        <w:numPr>
          <w:ilvl w:val="0"/>
          <w:numId w:val="2"/>
        </w:numPr>
        <w:spacing w:after="80" w:line="276"/>
      </w:pPr>
      <w:r>
        <w:rPr>
          <w:b/>
          <w:bCs/>
        </w:rPr>
        <w:t xml:space="preserve">Gate 4 — Deterministic policy — </w:t>
      </w:r>
      <w:r>
        <w:t xml:space="preserve">The authorization decision. Versioned rules map the action + impact + identity to exactly one of ALLOW / TRANSFORM / APPROVE / ESCALATE / DENY, with machine-readable reason codes. This is the only place authorization is decided — and it is never delegated to a model.</w:t>
      </w:r>
    </w:p>
    <w:p>
      <w:pPr>
        <w:pStyle w:val="ListParagraph"/>
        <w:numPr>
          <w:ilvl w:val="0"/>
          <w:numId w:val="2"/>
        </w:numPr>
        <w:spacing w:after="80" w:line="276"/>
      </w:pPr>
      <w:r>
        <w:rPr>
          <w:b/>
          <w:bCs/>
        </w:rPr>
        <w:t xml:space="preserve">Gate 5 — Human approval — </w:t>
      </w:r>
      <w:r>
        <w:t xml:space="preserve">When policy requires it, an approval is minted and bound to a specific requester, action, plan hash, and expiry. It cannot be replayed, widened, or reused for a different action.</w:t>
      </w:r>
    </w:p>
    <w:p>
      <w:pPr>
        <w:pStyle w:val="ListParagraph"/>
        <w:numPr>
          <w:ilvl w:val="0"/>
          <w:numId w:val="2"/>
        </w:numPr>
        <w:spacing w:after="80" w:line="276"/>
      </w:pPr>
      <w:r>
        <w:rPr>
          <w:b/>
          <w:bCs/>
        </w:rPr>
        <w:t xml:space="preserve">Gate 6 — Constrained safe plan — </w:t>
      </w:r>
      <w:r>
        <w:t xml:space="preserve">Produces a least-privilege, reversible plan with explicit stop conditions and meaning-preserving safety invariants, so an approved intent cannot silently become a more dangerous change.</w:t>
      </w:r>
    </w:p>
    <w:p>
      <w:pPr>
        <w:pStyle w:val="ListParagraph"/>
        <w:numPr>
          <w:ilvl w:val="0"/>
          <w:numId w:val="2"/>
        </w:numPr>
        <w:spacing w:after="80" w:line="276"/>
      </w:pPr>
      <w:r>
        <w:rPr>
          <w:b/>
          <w:bCs/>
        </w:rPr>
        <w:t xml:space="preserve">Gate 7 — Outcome validation — </w:t>
      </w:r>
      <w:r>
        <w:t xml:space="preserve">After a (simulated) action, compares expected against observed outcome, records the result, and flags any drift for review.</w:t>
      </w:r>
    </w:p>
    <w:tbl>
      <w:tblPr>
        <w:tblW w:type="dxa" w:w="9360"/>
        <w:tblBorders>
          <w:top w:val="single" w:color="FBECEC" w:sz="2"/>
          <w:left w:val="single" w:color="9B2226" w:sz="24"/>
          <w:bottom w:val="single" w:color="FBECEC" w:sz="2"/>
          <w:right w:val="single" w:color="FBECEC" w:sz="2"/>
          <w:insideH w:val="single" w:color="auto" w:sz="4"/>
          <w:insideV w:val="single" w:color="auto" w:sz="4"/>
        </w:tblBorders>
      </w:tblPr>
      <w:tblGrid>
        <w:gridCol w:w="9360"/>
      </w:tblGrid>
      <w:tr>
        <w:tc>
          <w:tcPr>
            <w:tcW w:type="dxa" w:w="9360"/>
            <w:shd w:fill="FBECEC" w:color="auto" w:val="clear"/>
            <w:tcMar>
              <w:top w:type="dxa" w:w="120"/>
              <w:left w:type="dxa" w:w="180"/>
              <w:bottom w:type="dxa" w:w="120"/>
              <w:right w:type="dxa" w:w="160"/>
            </w:tcMar>
          </w:tcPr>
          <w:p>
            <w:pPr>
              <w:spacing w:after="60"/>
            </w:pPr>
            <w:r>
              <w:rPr>
                <w:b/>
                <w:bCs/>
                <w:color w:val="9B2226"/>
              </w:rPr>
              <w:t xml:space="preserve">Gate R — adversarial red-team (companion analyzer)</w:t>
            </w:r>
          </w:p>
          <w:p>
            <w:pPr>
              <w:spacing w:after="40" w:line="272"/>
            </w:pPr>
            <w:r>
              <w:t xml:space="preserve">Alongside the seven governance gates, Gate R statically probes the agent definition against nine attack families and reports defense coverage, residual exposure, and ASR. It is advisory and simulation-only, and static posture is capped at WARN (never PASS).</w:t>
            </w:r>
          </w:p>
        </w:tc>
      </w:tr>
    </w:tbl>
    <w:p>
      <w:r>
        <w:br w:type="page"/>
      </w:r>
    </w:p>
    <w:p>
      <w:pPr>
        <w:pStyle w:val="Heading1"/>
        <w:spacing w:after="160" w:before="320"/>
      </w:pPr>
      <w:r>
        <w:t xml:space="preserve">5. Architecture Explanation</w:t>
      </w:r>
    </w:p>
    <w:p>
      <w:pPr>
        <w:spacing w:after="120" w:before="0" w:line="276"/>
      </w:pPr>
      <w:r>
        <w:t xml:space="preserve">AgentShield is organised into two strictly separated lanes plus the surfaces that drive them. The separation is the safety property: the thing that authorizes actions never makes a network call.</w:t>
      </w:r>
    </w:p>
    <w:p>
      <w:pPr>
        <w:pStyle w:val="Heading2"/>
        <w:spacing w:after="120" w:before="240"/>
      </w:pPr>
      <w:r>
        <w:t xml:space="preserve">5.1 Deterministic core (agentshield/)</w:t>
      </w:r>
    </w:p>
    <w:p>
      <w:pPr>
        <w:spacing w:after="120" w:before="0" w:line="276"/>
      </w:pPr>
      <w:r>
        <w:t xml:space="preserve">The offline, network-free assessment and governance engine. It never makes outbound calls, so its verdicts are reproducible and safe to run anywhere. This is what authorizes or denies an action. Key modules include workflow, assurance, interception, impact, policy, approvals, planning, validation, redteam, responsible_ai, compliance, static_assess, remediation, sarif, evidence, ledger, determinism, metrics, models, and mock_providers (synthetic providers keep the core testable and offline).</w:t>
      </w:r>
    </w:p>
    <w:p>
      <w:pPr>
        <w:pStyle w:val="Heading2"/>
        <w:spacing w:after="120" w:before="240"/>
      </w:pPr>
      <w:r>
        <w:t xml:space="preserve">5.2 Live measurement lane (agentshield_live/)</w:t>
      </w:r>
    </w:p>
    <w:p>
      <w:pPr>
        <w:spacing w:after="120" w:before="0" w:line="276"/>
      </w:pPr>
      <w:r>
        <w:t xml:space="preserve">Opt-in adapters that gather real signals — red-team probes, content-safety checks, fairness / Responsible-AI measurements. All networking lives here and never leaks into the core. Modules include redteam_live, pyrit_engine (PyRIT-backed attack generation), content_safety_live (Azure AI Content Safety), fairness, rai_measured, judge, canary, and provider adapters.</w:t>
      </w:r>
    </w:p>
    <w:p>
      <w:pPr>
        <w:pStyle w:val="Heading2"/>
        <w:spacing w:after="120" w:before="240"/>
      </w:pPr>
      <w:r>
        <w:t xml:space="preserve">5.3 Surfaces</w:t>
      </w:r>
    </w:p>
    <w:p>
      <w:pPr>
        <w:pStyle w:val="ListParagraph"/>
        <w:numPr>
          <w:ilvl w:val="0"/>
          <w:numId w:val="2"/>
        </w:numPr>
        <w:spacing w:after="80" w:line="276"/>
      </w:pPr>
      <w:r>
        <w:rPr>
          <w:b/>
          <w:bCs/>
        </w:rPr>
        <w:t xml:space="preserve">Copilot custom agent (.github/agents/) — </w:t>
      </w:r>
      <w:r>
        <w:t xml:space="preserve">The AgentShield persona/definition, usable inside GitHub Copilot.</w:t>
      </w:r>
    </w:p>
    <w:p>
      <w:pPr>
        <w:pStyle w:val="ListParagraph"/>
        <w:numPr>
          <w:ilvl w:val="0"/>
          <w:numId w:val="2"/>
        </w:numPr>
        <w:spacing w:after="80" w:line="276"/>
      </w:pPr>
      <w:r>
        <w:rPr>
          <w:b/>
          <w:bCs/>
        </w:rPr>
        <w:t xml:space="preserve">Report pipeline (scripts/) — </w:t>
      </w:r>
      <w:r>
        <w:t xml:space="preserve">agentshield_report.py turns an agent definition into a self-contained HTML evidence report; agent_llm.py adds optional LLM narrative with a content-addressed cache; scan / observe / intercept / governance / showcase runners cover each mode.</w:t>
      </w:r>
    </w:p>
    <w:p>
      <w:pPr>
        <w:pStyle w:val="ListParagraph"/>
        <w:numPr>
          <w:ilvl w:val="0"/>
          <w:numId w:val="2"/>
        </w:numPr>
        <w:spacing w:after="80" w:line="276"/>
      </w:pPr>
      <w:r>
        <w:rPr>
          <w:b/>
          <w:bCs/>
        </w:rPr>
        <w:t xml:space="preserve">Next.js website (agentshield-web/) — </w:t>
      </w:r>
      <w:r>
        <w:t xml:space="preserve">Upload an agent definition, get a report. Deployed to Azure Container Apps.</w:t>
      </w:r>
    </w:p>
    <w:p>
      <w:pPr>
        <w:pStyle w:val="ListParagraph"/>
        <w:numPr>
          <w:ilvl w:val="0"/>
          <w:numId w:val="2"/>
        </w:numPr>
        <w:spacing w:after="80" w:line="276"/>
      </w:pPr>
      <w:r>
        <w:rPr>
          <w:b/>
          <w:bCs/>
        </w:rPr>
        <w:t xml:space="preserve">Enrichment cache (enrichment_cache/v1/) — </w:t>
      </w:r>
      <w:r>
        <w:t xml:space="preserve">Committed LLM narratives namespaced by prompt version so the website and CLI render identical reports.</w:t>
      </w:r>
    </w:p>
    <w:p>
      <w:pPr>
        <w:pStyle w:val="Heading2"/>
        <w:spacing w:after="120" w:before="240"/>
      </w:pPr>
      <w:r>
        <w:t xml:space="preserve">5.4 Two decisions, never conflated</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4680"/>
        <w:gridCol w:w="4680"/>
      </w:tblGrid>
      <w:tr>
        <w:trPr>
          <w:tblHeader/>
        </w:trPr>
        <w:tc>
          <w:tcPr>
            <w:tcW w:type="dxa" w:w="4680"/>
            <w:shd w:fill="0B1F3A" w:color="auto" w:val="clear"/>
            <w:tcMar>
              <w:top w:type="dxa" w:w="70"/>
              <w:left w:type="dxa" w:w="120"/>
              <w:bottom w:type="dxa" w:w="70"/>
              <w:right w:type="dxa" w:w="120"/>
            </w:tcMar>
            <w:vAlign w:val="center"/>
          </w:tcPr>
          <w:p>
            <w:pPr>
              <w:spacing w:after="0" w:line="264"/>
            </w:pPr>
            <w:r>
              <w:rPr>
                <w:b/>
                <w:bCs/>
                <w:color w:val="FFFFFF"/>
              </w:rPr>
              <w:t xml:space="preserve">Assurance posture</w:t>
            </w:r>
          </w:p>
        </w:tc>
        <w:tc>
          <w:tcPr>
            <w:tcW w:type="dxa" w:w="4680"/>
            <w:shd w:fill="0B1F3A" w:color="auto" w:val="clear"/>
            <w:tcMar>
              <w:top w:type="dxa" w:w="70"/>
              <w:left w:type="dxa" w:w="120"/>
              <w:bottom w:type="dxa" w:w="70"/>
              <w:right w:type="dxa" w:w="120"/>
            </w:tcMar>
            <w:vAlign w:val="center"/>
          </w:tcPr>
          <w:p>
            <w:pPr>
              <w:spacing w:after="0" w:line="264"/>
            </w:pPr>
            <w:r>
              <w:rPr>
                <w:b/>
                <w:bCs/>
                <w:color w:val="FFFFFF"/>
              </w:rPr>
              <w:t xml:space="preserve">Runtime decision</w:t>
            </w:r>
          </w:p>
        </w:tc>
      </w:tr>
      <w:tr>
        <w:tc>
          <w:tcPr>
            <w:tcW w:type="dxa" w:w="4680"/>
            <w:tcMar>
              <w:top w:type="dxa" w:w="70"/>
              <w:left w:type="dxa" w:w="120"/>
              <w:bottom w:type="dxa" w:w="70"/>
              <w:right w:type="dxa" w:w="120"/>
            </w:tcMar>
            <w:vAlign w:val="center"/>
          </w:tcPr>
          <w:p>
            <w:pPr>
              <w:spacing w:after="0" w:line="264"/>
            </w:pPr>
            <w:r>
              <w:t xml:space="preserve">PASS / WARN / BLOCK</w:t>
            </w:r>
          </w:p>
        </w:tc>
        <w:tc>
          <w:tcPr>
            <w:tcW w:type="dxa" w:w="4680"/>
            <w:tcMar>
              <w:top w:type="dxa" w:w="70"/>
              <w:left w:type="dxa" w:w="120"/>
              <w:bottom w:type="dxa" w:w="70"/>
              <w:right w:type="dxa" w:w="120"/>
            </w:tcMar>
            <w:vAlign w:val="center"/>
          </w:tcPr>
          <w:p>
            <w:pPr>
              <w:spacing w:after="0" w:line="264"/>
            </w:pPr>
            <w:r>
              <w:t xml:space="preserve">ALLOW / TRANSFORM / APPROVE / ESCALATE / DENY</w:t>
            </w:r>
          </w:p>
        </w:tc>
      </w:tr>
      <w:tr>
        <w:tc>
          <w:tcPr>
            <w:tcW w:type="dxa" w:w="4680"/>
            <w:shd w:fill="F1F5F9" w:color="auto" w:val="clear"/>
            <w:tcMar>
              <w:top w:type="dxa" w:w="70"/>
              <w:left w:type="dxa" w:w="120"/>
              <w:bottom w:type="dxa" w:w="70"/>
              <w:right w:type="dxa" w:w="120"/>
            </w:tcMar>
            <w:vAlign w:val="center"/>
          </w:tcPr>
          <w:p>
            <w:pPr>
              <w:spacing w:after="0" w:line="264"/>
            </w:pPr>
            <w:r>
              <w:t xml:space="preserve">Confidence in design and controls</w:t>
            </w:r>
          </w:p>
        </w:tc>
        <w:tc>
          <w:tcPr>
            <w:tcW w:type="dxa" w:w="4680"/>
            <w:shd w:fill="F1F5F9" w:color="auto" w:val="clear"/>
            <w:tcMar>
              <w:top w:type="dxa" w:w="70"/>
              <w:left w:type="dxa" w:w="120"/>
              <w:bottom w:type="dxa" w:w="70"/>
              <w:right w:type="dxa" w:w="120"/>
            </w:tcMar>
            <w:vAlign w:val="center"/>
          </w:tcPr>
          <w:p>
            <w:pPr>
              <w:spacing w:after="0" w:line="264"/>
            </w:pPr>
            <w:r>
              <w:t xml:space="preserve">Authorization for one proposed action</w:t>
            </w:r>
          </w:p>
        </w:tc>
      </w:tr>
      <w:tr>
        <w:tc>
          <w:tcPr>
            <w:tcW w:type="dxa" w:w="4680"/>
            <w:tcMar>
              <w:top w:type="dxa" w:w="70"/>
              <w:left w:type="dxa" w:w="120"/>
              <w:bottom w:type="dxa" w:w="70"/>
              <w:right w:type="dxa" w:w="120"/>
            </w:tcMar>
            <w:vAlign w:val="center"/>
          </w:tcPr>
          <w:p>
            <w:pPr>
              <w:spacing w:after="0" w:line="264"/>
            </w:pPr>
            <w:r>
              <w:t xml:space="preserve">Advisory signal</w:t>
            </w:r>
          </w:p>
        </w:tc>
        <w:tc>
          <w:tcPr>
            <w:tcW w:type="dxa" w:w="4680"/>
            <w:tcMar>
              <w:top w:type="dxa" w:w="70"/>
              <w:left w:type="dxa" w:w="120"/>
              <w:bottom w:type="dxa" w:w="70"/>
              <w:right w:type="dxa" w:w="120"/>
            </w:tcMar>
            <w:vAlign w:val="center"/>
          </w:tcPr>
          <w:p>
            <w:pPr>
              <w:spacing w:after="0" w:line="264"/>
            </w:pPr>
            <w:r>
              <w:t xml:space="preserve">Deterministic, versioned, binding</w:t>
            </w:r>
          </w:p>
        </w:tc>
      </w:tr>
    </w:tbl>
    <w:p>
      <w:pPr>
        <w:pStyle w:val="Heading2"/>
        <w:spacing w:after="120" w:before="240"/>
      </w:pPr>
      <w:r>
        <w:t xml:space="preserve">5.5 Assurance control families (ASF-01..10)</w:t>
      </w:r>
    </w:p>
    <w:p>
      <w:pPr>
        <w:spacing w:after="120" w:before="0" w:line="276"/>
      </w:pPr>
      <w:r>
        <w:t xml:space="preserve">Gate 0 scores ten weighted control families. Critical families (ASF-01, ASF-03, ASF-05, ASF-09) can force a BLOCK if unevidenced.</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1200"/>
        <w:gridCol w:w="6960"/>
        <w:gridCol w:w="1200"/>
      </w:tblGrid>
      <w:tr>
        <w:trPr>
          <w:tblHeader/>
        </w:trPr>
        <w:tc>
          <w:tcPr>
            <w:tcW w:type="dxa" w:w="1200"/>
            <w:shd w:fill="0B1F3A" w:color="auto" w:val="clear"/>
            <w:tcMar>
              <w:top w:type="dxa" w:w="70"/>
              <w:left w:type="dxa" w:w="120"/>
              <w:bottom w:type="dxa" w:w="70"/>
              <w:right w:type="dxa" w:w="120"/>
            </w:tcMar>
            <w:vAlign w:val="center"/>
          </w:tcPr>
          <w:p>
            <w:pPr>
              <w:spacing w:after="0" w:line="264"/>
            </w:pPr>
            <w:r>
              <w:rPr>
                <w:b/>
                <w:bCs/>
                <w:color w:val="FFFFFF"/>
              </w:rPr>
              <w:t xml:space="preserve">ID</w:t>
            </w:r>
          </w:p>
        </w:tc>
        <w:tc>
          <w:tcPr>
            <w:tcW w:type="dxa" w:w="6960"/>
            <w:shd w:fill="0B1F3A" w:color="auto" w:val="clear"/>
            <w:tcMar>
              <w:top w:type="dxa" w:w="70"/>
              <w:left w:type="dxa" w:w="120"/>
              <w:bottom w:type="dxa" w:w="70"/>
              <w:right w:type="dxa" w:w="120"/>
            </w:tcMar>
            <w:vAlign w:val="center"/>
          </w:tcPr>
          <w:p>
            <w:pPr>
              <w:spacing w:after="0" w:line="264"/>
            </w:pPr>
            <w:r>
              <w:rPr>
                <w:b/>
                <w:bCs/>
                <w:color w:val="FFFFFF"/>
              </w:rPr>
              <w:t xml:space="preserve">Control family</w:t>
            </w:r>
          </w:p>
        </w:tc>
        <w:tc>
          <w:tcPr>
            <w:tcW w:type="dxa" w:w="1200"/>
            <w:shd w:fill="0B1F3A" w:color="auto" w:val="clear"/>
            <w:tcMar>
              <w:top w:type="dxa" w:w="70"/>
              <w:left w:type="dxa" w:w="120"/>
              <w:bottom w:type="dxa" w:w="70"/>
              <w:right w:type="dxa" w:w="120"/>
            </w:tcMar>
            <w:vAlign w:val="center"/>
          </w:tcPr>
          <w:p>
            <w:pPr>
              <w:spacing w:after="0" w:line="264"/>
            </w:pPr>
            <w:r>
              <w:rPr>
                <w:b/>
                <w:bCs/>
                <w:color w:val="FFFFFF"/>
              </w:rPr>
              <w:t xml:space="preserve">Weight</w:t>
            </w:r>
          </w:p>
        </w:tc>
      </w:tr>
      <w:tr>
        <w:tc>
          <w:tcPr>
            <w:tcW w:type="dxa" w:w="1200"/>
            <w:tcMar>
              <w:top w:type="dxa" w:w="70"/>
              <w:left w:type="dxa" w:w="120"/>
              <w:bottom w:type="dxa" w:w="70"/>
              <w:right w:type="dxa" w:w="120"/>
            </w:tcMar>
            <w:vAlign w:val="center"/>
          </w:tcPr>
          <w:p>
            <w:pPr>
              <w:spacing w:after="0" w:line="264"/>
            </w:pPr>
            <w:r>
              <w:t xml:space="preserve">ASF-01</w:t>
            </w:r>
          </w:p>
        </w:tc>
        <w:tc>
          <w:tcPr>
            <w:tcW w:type="dxa" w:w="6960"/>
            <w:tcMar>
              <w:top w:type="dxa" w:w="70"/>
              <w:left w:type="dxa" w:w="120"/>
              <w:bottom w:type="dxa" w:w="70"/>
              <w:right w:type="dxa" w:w="120"/>
            </w:tcMar>
            <w:vAlign w:val="center"/>
          </w:tcPr>
          <w:p>
            <w:pPr>
              <w:spacing w:after="0" w:line="264"/>
            </w:pPr>
            <w:r>
              <w:t xml:space="preserve">Instruction hierarchy and untrusted-content isolation</w:t>
            </w:r>
          </w:p>
        </w:tc>
        <w:tc>
          <w:tcPr>
            <w:tcW w:type="dxa" w:w="1200"/>
            <w:tcMar>
              <w:top w:type="dxa" w:w="70"/>
              <w:left w:type="dxa" w:w="120"/>
              <w:bottom w:type="dxa" w:w="70"/>
              <w:right w:type="dxa" w:w="120"/>
            </w:tcMar>
            <w:vAlign w:val="center"/>
          </w:tcPr>
          <w:p>
            <w:pPr>
              <w:spacing w:after="0" w:line="264"/>
            </w:pPr>
            <w:r>
              <w:t xml:space="preserve">12</w:t>
            </w:r>
          </w:p>
        </w:tc>
      </w:tr>
      <w:tr>
        <w:tc>
          <w:tcPr>
            <w:tcW w:type="dxa" w:w="1200"/>
            <w:shd w:fill="F1F5F9" w:color="auto" w:val="clear"/>
            <w:tcMar>
              <w:top w:type="dxa" w:w="70"/>
              <w:left w:type="dxa" w:w="120"/>
              <w:bottom w:type="dxa" w:w="70"/>
              <w:right w:type="dxa" w:w="120"/>
            </w:tcMar>
            <w:vAlign w:val="center"/>
          </w:tcPr>
          <w:p>
            <w:pPr>
              <w:spacing w:after="0" w:line="264"/>
            </w:pPr>
            <w:r>
              <w:t xml:space="preserve">ASF-02</w:t>
            </w:r>
          </w:p>
        </w:tc>
        <w:tc>
          <w:tcPr>
            <w:tcW w:type="dxa" w:w="6960"/>
            <w:shd w:fill="F1F5F9" w:color="auto" w:val="clear"/>
            <w:tcMar>
              <w:top w:type="dxa" w:w="70"/>
              <w:left w:type="dxa" w:w="120"/>
              <w:bottom w:type="dxa" w:w="70"/>
              <w:right w:type="dxa" w:w="120"/>
            </w:tcMar>
            <w:vAlign w:val="center"/>
          </w:tcPr>
          <w:p>
            <w:pPr>
              <w:spacing w:after="0" w:line="264"/>
            </w:pPr>
            <w:r>
              <w:t xml:space="preserve">Identity, ownership, and accountability</w:t>
            </w:r>
          </w:p>
        </w:tc>
        <w:tc>
          <w:tcPr>
            <w:tcW w:type="dxa" w:w="1200"/>
            <w:shd w:fill="F1F5F9" w:color="auto" w:val="clear"/>
            <w:tcMar>
              <w:top w:type="dxa" w:w="70"/>
              <w:left w:type="dxa" w:w="120"/>
              <w:bottom w:type="dxa" w:w="70"/>
              <w:right w:type="dxa" w:w="120"/>
            </w:tcMar>
            <w:vAlign w:val="center"/>
          </w:tcPr>
          <w:p>
            <w:pPr>
              <w:spacing w:after="0" w:line="264"/>
            </w:pPr>
            <w:r>
              <w:t xml:space="preserve">10</w:t>
            </w:r>
          </w:p>
        </w:tc>
      </w:tr>
      <w:tr>
        <w:tc>
          <w:tcPr>
            <w:tcW w:type="dxa" w:w="1200"/>
            <w:tcMar>
              <w:top w:type="dxa" w:w="70"/>
              <w:left w:type="dxa" w:w="120"/>
              <w:bottom w:type="dxa" w:w="70"/>
              <w:right w:type="dxa" w:w="120"/>
            </w:tcMar>
            <w:vAlign w:val="center"/>
          </w:tcPr>
          <w:p>
            <w:pPr>
              <w:spacing w:after="0" w:line="264"/>
            </w:pPr>
            <w:r>
              <w:t xml:space="preserve">ASF-03</w:t>
            </w:r>
          </w:p>
        </w:tc>
        <w:tc>
          <w:tcPr>
            <w:tcW w:type="dxa" w:w="6960"/>
            <w:tcMar>
              <w:top w:type="dxa" w:w="70"/>
              <w:left w:type="dxa" w:w="120"/>
              <w:bottom w:type="dxa" w:w="70"/>
              <w:right w:type="dxa" w:w="120"/>
            </w:tcMar>
            <w:vAlign w:val="center"/>
          </w:tcPr>
          <w:p>
            <w:pPr>
              <w:spacing w:after="0" w:line="264"/>
            </w:pPr>
            <w:r>
              <w:t xml:space="preserve">Tool inventory, permissions, and least privilege</w:t>
            </w:r>
          </w:p>
        </w:tc>
        <w:tc>
          <w:tcPr>
            <w:tcW w:type="dxa" w:w="1200"/>
            <w:tcMar>
              <w:top w:type="dxa" w:w="70"/>
              <w:left w:type="dxa" w:w="120"/>
              <w:bottom w:type="dxa" w:w="70"/>
              <w:right w:type="dxa" w:w="120"/>
            </w:tcMar>
            <w:vAlign w:val="center"/>
          </w:tcPr>
          <w:p>
            <w:pPr>
              <w:spacing w:after="0" w:line="264"/>
            </w:pPr>
            <w:r>
              <w:t xml:space="preserve">14</w:t>
            </w:r>
          </w:p>
        </w:tc>
      </w:tr>
      <w:tr>
        <w:tc>
          <w:tcPr>
            <w:tcW w:type="dxa" w:w="1200"/>
            <w:shd w:fill="F1F5F9" w:color="auto" w:val="clear"/>
            <w:tcMar>
              <w:top w:type="dxa" w:w="70"/>
              <w:left w:type="dxa" w:w="120"/>
              <w:bottom w:type="dxa" w:w="70"/>
              <w:right w:type="dxa" w:w="120"/>
            </w:tcMar>
            <w:vAlign w:val="center"/>
          </w:tcPr>
          <w:p>
            <w:pPr>
              <w:spacing w:after="0" w:line="264"/>
            </w:pPr>
            <w:r>
              <w:t xml:space="preserve">ASF-04</w:t>
            </w:r>
          </w:p>
        </w:tc>
        <w:tc>
          <w:tcPr>
            <w:tcW w:type="dxa" w:w="6960"/>
            <w:shd w:fill="F1F5F9" w:color="auto" w:val="clear"/>
            <w:tcMar>
              <w:top w:type="dxa" w:w="70"/>
              <w:left w:type="dxa" w:w="120"/>
              <w:bottom w:type="dxa" w:w="70"/>
              <w:right w:type="dxa" w:w="120"/>
            </w:tcMar>
            <w:vAlign w:val="center"/>
          </w:tcPr>
          <w:p>
            <w:pPr>
              <w:spacing w:after="0" w:line="264"/>
            </w:pPr>
            <w:r>
              <w:t xml:space="preserve">Memory, RAG, privacy, and data boundaries</w:t>
            </w:r>
          </w:p>
        </w:tc>
        <w:tc>
          <w:tcPr>
            <w:tcW w:type="dxa" w:w="1200"/>
            <w:shd w:fill="F1F5F9" w:color="auto" w:val="clear"/>
            <w:tcMar>
              <w:top w:type="dxa" w:w="70"/>
              <w:left w:type="dxa" w:w="120"/>
              <w:bottom w:type="dxa" w:w="70"/>
              <w:right w:type="dxa" w:w="120"/>
            </w:tcMar>
            <w:vAlign w:val="center"/>
          </w:tcPr>
          <w:p>
            <w:pPr>
              <w:spacing w:after="0" w:line="264"/>
            </w:pPr>
            <w:r>
              <w:t xml:space="preserve">10</w:t>
            </w:r>
          </w:p>
        </w:tc>
      </w:tr>
      <w:tr>
        <w:tc>
          <w:tcPr>
            <w:tcW w:type="dxa" w:w="1200"/>
            <w:tcMar>
              <w:top w:type="dxa" w:w="70"/>
              <w:left w:type="dxa" w:w="120"/>
              <w:bottom w:type="dxa" w:w="70"/>
              <w:right w:type="dxa" w:w="120"/>
            </w:tcMar>
            <w:vAlign w:val="center"/>
          </w:tcPr>
          <w:p>
            <w:pPr>
              <w:spacing w:after="0" w:line="264"/>
            </w:pPr>
            <w:r>
              <w:t xml:space="preserve">ASF-05</w:t>
            </w:r>
          </w:p>
        </w:tc>
        <w:tc>
          <w:tcPr>
            <w:tcW w:type="dxa" w:w="6960"/>
            <w:tcMar>
              <w:top w:type="dxa" w:w="70"/>
              <w:left w:type="dxa" w:w="120"/>
              <w:bottom w:type="dxa" w:w="70"/>
              <w:right w:type="dxa" w:w="120"/>
            </w:tcMar>
            <w:vAlign w:val="center"/>
          </w:tcPr>
          <w:p>
            <w:pPr>
              <w:spacing w:after="0" w:line="264"/>
            </w:pPr>
            <w:r>
              <w:t xml:space="preserve">Secret handling and output protection</w:t>
            </w:r>
          </w:p>
        </w:tc>
        <w:tc>
          <w:tcPr>
            <w:tcW w:type="dxa" w:w="1200"/>
            <w:tcMar>
              <w:top w:type="dxa" w:w="70"/>
              <w:left w:type="dxa" w:w="120"/>
              <w:bottom w:type="dxa" w:w="70"/>
              <w:right w:type="dxa" w:w="120"/>
            </w:tcMar>
            <w:vAlign w:val="center"/>
          </w:tcPr>
          <w:p>
            <w:pPr>
              <w:spacing w:after="0" w:line="264"/>
            </w:pPr>
            <w:r>
              <w:t xml:space="preserve">10</w:t>
            </w:r>
          </w:p>
        </w:tc>
      </w:tr>
      <w:tr>
        <w:tc>
          <w:tcPr>
            <w:tcW w:type="dxa" w:w="1200"/>
            <w:shd w:fill="F1F5F9" w:color="auto" w:val="clear"/>
            <w:tcMar>
              <w:top w:type="dxa" w:w="70"/>
              <w:left w:type="dxa" w:w="120"/>
              <w:bottom w:type="dxa" w:w="70"/>
              <w:right w:type="dxa" w:w="120"/>
            </w:tcMar>
            <w:vAlign w:val="center"/>
          </w:tcPr>
          <w:p>
            <w:pPr>
              <w:spacing w:after="0" w:line="264"/>
            </w:pPr>
            <w:r>
              <w:t xml:space="preserve">ASF-06</w:t>
            </w:r>
          </w:p>
        </w:tc>
        <w:tc>
          <w:tcPr>
            <w:tcW w:type="dxa" w:w="6960"/>
            <w:shd w:fill="F1F5F9" w:color="auto" w:val="clear"/>
            <w:tcMar>
              <w:top w:type="dxa" w:w="70"/>
              <w:left w:type="dxa" w:w="120"/>
              <w:bottom w:type="dxa" w:w="70"/>
              <w:right w:type="dxa" w:w="120"/>
            </w:tcMar>
            <w:vAlign w:val="center"/>
          </w:tcPr>
          <w:p>
            <w:pPr>
              <w:spacing w:after="0" w:line="264"/>
            </w:pPr>
            <w:r>
              <w:t xml:space="preserve">Human oversight and change management</w:t>
            </w:r>
          </w:p>
        </w:tc>
        <w:tc>
          <w:tcPr>
            <w:tcW w:type="dxa" w:w="1200"/>
            <w:shd w:fill="F1F5F9" w:color="auto" w:val="clear"/>
            <w:tcMar>
              <w:top w:type="dxa" w:w="70"/>
              <w:left w:type="dxa" w:w="120"/>
              <w:bottom w:type="dxa" w:w="70"/>
              <w:right w:type="dxa" w:w="120"/>
            </w:tcMar>
            <w:vAlign w:val="center"/>
          </w:tcPr>
          <w:p>
            <w:pPr>
              <w:spacing w:after="0" w:line="264"/>
            </w:pPr>
            <w:r>
              <w:t xml:space="preserve">10</w:t>
            </w:r>
          </w:p>
        </w:tc>
      </w:tr>
      <w:tr>
        <w:tc>
          <w:tcPr>
            <w:tcW w:type="dxa" w:w="1200"/>
            <w:tcMar>
              <w:top w:type="dxa" w:w="70"/>
              <w:left w:type="dxa" w:w="120"/>
              <w:bottom w:type="dxa" w:w="70"/>
              <w:right w:type="dxa" w:w="120"/>
            </w:tcMar>
            <w:vAlign w:val="center"/>
          </w:tcPr>
          <w:p>
            <w:pPr>
              <w:spacing w:after="0" w:line="264"/>
            </w:pPr>
            <w:r>
              <w:t xml:space="preserve">ASF-07</w:t>
            </w:r>
          </w:p>
        </w:tc>
        <w:tc>
          <w:tcPr>
            <w:tcW w:type="dxa" w:w="6960"/>
            <w:tcMar>
              <w:top w:type="dxa" w:w="70"/>
              <w:left w:type="dxa" w:w="120"/>
              <w:bottom w:type="dxa" w:w="70"/>
              <w:right w:type="dxa" w:w="120"/>
            </w:tcMar>
            <w:vAlign w:val="center"/>
          </w:tcPr>
          <w:p>
            <w:pPr>
              <w:spacing w:after="0" w:line="264"/>
            </w:pPr>
            <w:r>
              <w:t xml:space="preserve">Multi-agent and protocol trust boundaries</w:t>
            </w:r>
          </w:p>
        </w:tc>
        <w:tc>
          <w:tcPr>
            <w:tcW w:type="dxa" w:w="1200"/>
            <w:tcMar>
              <w:top w:type="dxa" w:w="70"/>
              <w:left w:type="dxa" w:w="120"/>
              <w:bottom w:type="dxa" w:w="70"/>
              <w:right w:type="dxa" w:w="120"/>
            </w:tcMar>
            <w:vAlign w:val="center"/>
          </w:tcPr>
          <w:p>
            <w:pPr>
              <w:spacing w:after="0" w:line="264"/>
            </w:pPr>
            <w:r>
              <w:t xml:space="preserve">8</w:t>
            </w:r>
          </w:p>
        </w:tc>
      </w:tr>
      <w:tr>
        <w:tc>
          <w:tcPr>
            <w:tcW w:type="dxa" w:w="1200"/>
            <w:shd w:fill="F1F5F9" w:color="auto" w:val="clear"/>
            <w:tcMar>
              <w:top w:type="dxa" w:w="70"/>
              <w:left w:type="dxa" w:w="120"/>
              <w:bottom w:type="dxa" w:w="70"/>
              <w:right w:type="dxa" w:w="120"/>
            </w:tcMar>
            <w:vAlign w:val="center"/>
          </w:tcPr>
          <w:p>
            <w:pPr>
              <w:spacing w:after="0" w:line="264"/>
            </w:pPr>
            <w:r>
              <w:t xml:space="preserve">ASF-08</w:t>
            </w:r>
          </w:p>
        </w:tc>
        <w:tc>
          <w:tcPr>
            <w:tcW w:type="dxa" w:w="6960"/>
            <w:shd w:fill="F1F5F9" w:color="auto" w:val="clear"/>
            <w:tcMar>
              <w:top w:type="dxa" w:w="70"/>
              <w:left w:type="dxa" w:w="120"/>
              <w:bottom w:type="dxa" w:w="70"/>
              <w:right w:type="dxa" w:w="120"/>
            </w:tcMar>
            <w:vAlign w:val="center"/>
          </w:tcPr>
          <w:p>
            <w:pPr>
              <w:spacing w:after="0" w:line="264"/>
            </w:pPr>
            <w:r>
              <w:t xml:space="preserve">Monitoring, auditability, and evidence retention</w:t>
            </w:r>
          </w:p>
        </w:tc>
        <w:tc>
          <w:tcPr>
            <w:tcW w:type="dxa" w:w="1200"/>
            <w:shd w:fill="F1F5F9" w:color="auto" w:val="clear"/>
            <w:tcMar>
              <w:top w:type="dxa" w:w="70"/>
              <w:left w:type="dxa" w:w="120"/>
              <w:bottom w:type="dxa" w:w="70"/>
              <w:right w:type="dxa" w:w="120"/>
            </w:tcMar>
            <w:vAlign w:val="center"/>
          </w:tcPr>
          <w:p>
            <w:pPr>
              <w:spacing w:after="0" w:line="264"/>
            </w:pPr>
            <w:r>
              <w:t xml:space="preserve">10</w:t>
            </w:r>
          </w:p>
        </w:tc>
      </w:tr>
      <w:tr>
        <w:tc>
          <w:tcPr>
            <w:tcW w:type="dxa" w:w="1200"/>
            <w:tcMar>
              <w:top w:type="dxa" w:w="70"/>
              <w:left w:type="dxa" w:w="120"/>
              <w:bottom w:type="dxa" w:w="70"/>
              <w:right w:type="dxa" w:w="120"/>
            </w:tcMar>
            <w:vAlign w:val="center"/>
          </w:tcPr>
          <w:p>
            <w:pPr>
              <w:spacing w:after="0" w:line="264"/>
            </w:pPr>
            <w:r>
              <w:t xml:space="preserve">ASF-09</w:t>
            </w:r>
          </w:p>
        </w:tc>
        <w:tc>
          <w:tcPr>
            <w:tcW w:type="dxa" w:w="6960"/>
            <w:tcMar>
              <w:top w:type="dxa" w:w="70"/>
              <w:left w:type="dxa" w:w="120"/>
              <w:bottom w:type="dxa" w:w="70"/>
              <w:right w:type="dxa" w:w="120"/>
            </w:tcMar>
            <w:vAlign w:val="center"/>
          </w:tcPr>
          <w:p>
            <w:pPr>
              <w:spacing w:after="0" w:line="264"/>
            </w:pPr>
            <w:r>
              <w:t xml:space="preserve">Fail-closed behavior, resilience, and recovery</w:t>
            </w:r>
          </w:p>
        </w:tc>
        <w:tc>
          <w:tcPr>
            <w:tcW w:type="dxa" w:w="1200"/>
            <w:tcMar>
              <w:top w:type="dxa" w:w="70"/>
              <w:left w:type="dxa" w:w="120"/>
              <w:bottom w:type="dxa" w:w="70"/>
              <w:right w:type="dxa" w:w="120"/>
            </w:tcMar>
            <w:vAlign w:val="center"/>
          </w:tcPr>
          <w:p>
            <w:pPr>
              <w:spacing w:after="0" w:line="264"/>
            </w:pPr>
            <w:r>
              <w:t xml:space="preserve">10</w:t>
            </w:r>
          </w:p>
        </w:tc>
      </w:tr>
      <w:tr>
        <w:tc>
          <w:tcPr>
            <w:tcW w:type="dxa" w:w="1200"/>
            <w:shd w:fill="F1F5F9" w:color="auto" w:val="clear"/>
            <w:tcMar>
              <w:top w:type="dxa" w:w="70"/>
              <w:left w:type="dxa" w:w="120"/>
              <w:bottom w:type="dxa" w:w="70"/>
              <w:right w:type="dxa" w:w="120"/>
            </w:tcMar>
            <w:vAlign w:val="center"/>
          </w:tcPr>
          <w:p>
            <w:pPr>
              <w:spacing w:after="0" w:line="264"/>
            </w:pPr>
            <w:r>
              <w:t xml:space="preserve">ASF-10</w:t>
            </w:r>
          </w:p>
        </w:tc>
        <w:tc>
          <w:tcPr>
            <w:tcW w:type="dxa" w:w="6960"/>
            <w:shd w:fill="F1F5F9" w:color="auto" w:val="clear"/>
            <w:tcMar>
              <w:top w:type="dxa" w:w="70"/>
              <w:left w:type="dxa" w:w="120"/>
              <w:bottom w:type="dxa" w:w="70"/>
              <w:right w:type="dxa" w:w="120"/>
            </w:tcMar>
            <w:vAlign w:val="center"/>
          </w:tcPr>
          <w:p>
            <w:pPr>
              <w:spacing w:after="0" w:line="264"/>
            </w:pPr>
            <w:r>
              <w:t xml:space="preserve">Definition, manifest, and policy version integrity</w:t>
            </w:r>
          </w:p>
        </w:tc>
        <w:tc>
          <w:tcPr>
            <w:tcW w:type="dxa" w:w="1200"/>
            <w:shd w:fill="F1F5F9" w:color="auto" w:val="clear"/>
            <w:tcMar>
              <w:top w:type="dxa" w:w="70"/>
              <w:left w:type="dxa" w:w="120"/>
              <w:bottom w:type="dxa" w:w="70"/>
              <w:right w:type="dxa" w:w="120"/>
            </w:tcMar>
            <w:vAlign w:val="center"/>
          </w:tcPr>
          <w:p>
            <w:pPr>
              <w:spacing w:after="0" w:line="264"/>
            </w:pPr>
            <w:r>
              <w:t xml:space="preserve">6</w:t>
            </w:r>
          </w:p>
        </w:tc>
      </w:tr>
    </w:tbl>
    <w:p>
      <w:r>
        <w:br w:type="page"/>
      </w:r>
    </w:p>
    <w:p>
      <w:pPr>
        <w:pStyle w:val="Heading1"/>
        <w:spacing w:after="160" w:before="320"/>
      </w:pPr>
      <w:r>
        <w:t xml:space="preserve">6. Standout Capabilities</w:t>
      </w:r>
    </w:p>
    <w:p>
      <w:pPr>
        <w:pStyle w:val="Heading2"/>
        <w:spacing w:after="120" w:before="240"/>
      </w:pPr>
      <w:r>
        <w:t xml:space="preserve">6.1 Adversarial red-team &amp; Attack Success Rate (ASR)</w:t>
      </w:r>
    </w:p>
    <w:p>
      <w:pPr>
        <w:spacing w:after="120" w:before="0" w:line="276"/>
      </w:pPr>
      <w:r>
        <w:t xml:space="preserve">Gate R (agentshield/redteam.py) is a static, simulation-only adversarial analyzer. It treats every red-team probe payload as INERT DATA — it never executes, evaluates, or obeys a payload. For each attack family it inspects the target agent's own definition text for the presence or absence of the relevant defence, classifies the family as resisted / partial / likely-success, and computes metrics.</w:t>
      </w:r>
    </w:p>
    <w:p>
      <w:pPr>
        <w:spacing w:after="120" w:before="0" w:line="276"/>
      </w:pPr>
      <w:r>
        <w:t xml:space="preserve">Nine attack families are evaluated</w:t>
      </w:r>
      <w:r>
        <w:t xml:space="preserve"> (each mapped to an agentic-loop stage and a severity):</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1500"/>
        <w:gridCol w:w="3960"/>
        <w:gridCol w:w="2000"/>
        <w:gridCol w:w="1900"/>
      </w:tblGrid>
      <w:tr>
        <w:trPr>
          <w:tblHeader/>
        </w:trPr>
        <w:tc>
          <w:tcPr>
            <w:tcW w:type="dxa" w:w="1500"/>
            <w:shd w:fill="0B1F3A" w:color="auto" w:val="clear"/>
            <w:tcMar>
              <w:top w:type="dxa" w:w="70"/>
              <w:left w:type="dxa" w:w="120"/>
              <w:bottom w:type="dxa" w:w="70"/>
              <w:right w:type="dxa" w:w="120"/>
            </w:tcMar>
            <w:vAlign w:val="center"/>
          </w:tcPr>
          <w:p>
            <w:pPr>
              <w:spacing w:after="0" w:line="264"/>
            </w:pPr>
            <w:r>
              <w:rPr>
                <w:b/>
                <w:bCs/>
                <w:color w:val="FFFFFF"/>
              </w:rPr>
              <w:t xml:space="preserve">Family</w:t>
            </w:r>
          </w:p>
        </w:tc>
        <w:tc>
          <w:tcPr>
            <w:tcW w:type="dxa" w:w="3960"/>
            <w:shd w:fill="0B1F3A" w:color="auto" w:val="clear"/>
            <w:tcMar>
              <w:top w:type="dxa" w:w="70"/>
              <w:left w:type="dxa" w:w="120"/>
              <w:bottom w:type="dxa" w:w="70"/>
              <w:right w:type="dxa" w:w="120"/>
            </w:tcMar>
            <w:vAlign w:val="center"/>
          </w:tcPr>
          <w:p>
            <w:pPr>
              <w:spacing w:after="0" w:line="264"/>
            </w:pPr>
            <w:r>
              <w:rPr>
                <w:b/>
                <w:bCs/>
                <w:color w:val="FFFFFF"/>
              </w:rPr>
              <w:t xml:space="preserve">Attack</w:t>
            </w:r>
          </w:p>
        </w:tc>
        <w:tc>
          <w:tcPr>
            <w:tcW w:type="dxa" w:w="2000"/>
            <w:shd w:fill="0B1F3A" w:color="auto" w:val="clear"/>
            <w:tcMar>
              <w:top w:type="dxa" w:w="70"/>
              <w:left w:type="dxa" w:w="120"/>
              <w:bottom w:type="dxa" w:w="70"/>
              <w:right w:type="dxa" w:w="120"/>
            </w:tcMar>
            <w:vAlign w:val="center"/>
          </w:tcPr>
          <w:p>
            <w:pPr>
              <w:spacing w:after="0" w:line="264"/>
            </w:pPr>
            <w:r>
              <w:rPr>
                <w:b/>
                <w:bCs/>
                <w:color w:val="FFFFFF"/>
              </w:rPr>
              <w:t xml:space="preserve">Stage</w:t>
            </w:r>
          </w:p>
        </w:tc>
        <w:tc>
          <w:tcPr>
            <w:tcW w:type="dxa" w:w="1900"/>
            <w:shd w:fill="0B1F3A" w:color="auto" w:val="clear"/>
            <w:tcMar>
              <w:top w:type="dxa" w:w="70"/>
              <w:left w:type="dxa" w:w="120"/>
              <w:bottom w:type="dxa" w:w="70"/>
              <w:right w:type="dxa" w:w="120"/>
            </w:tcMar>
            <w:vAlign w:val="center"/>
          </w:tcPr>
          <w:p>
            <w:pPr>
              <w:spacing w:after="0" w:line="264"/>
            </w:pPr>
            <w:r>
              <w:rPr>
                <w:b/>
                <w:bCs/>
                <w:color w:val="FFFFFF"/>
              </w:rPr>
              <w:t xml:space="preserve">Severity</w:t>
            </w:r>
          </w:p>
        </w:tc>
      </w:tr>
      <w:tr>
        <w:tc>
          <w:tcPr>
            <w:tcW w:type="dxa" w:w="1500"/>
            <w:tcMar>
              <w:top w:type="dxa" w:w="70"/>
              <w:left w:type="dxa" w:w="120"/>
              <w:bottom w:type="dxa" w:w="70"/>
              <w:right w:type="dxa" w:w="120"/>
            </w:tcMar>
            <w:vAlign w:val="center"/>
          </w:tcPr>
          <w:p>
            <w:pPr>
              <w:spacing w:after="0" w:line="264"/>
            </w:pPr>
            <w:r>
              <w:t xml:space="preserve">RT-INJ-D</w:t>
            </w:r>
          </w:p>
        </w:tc>
        <w:tc>
          <w:tcPr>
            <w:tcW w:type="dxa" w:w="3960"/>
            <w:tcMar>
              <w:top w:type="dxa" w:w="70"/>
              <w:left w:type="dxa" w:w="120"/>
              <w:bottom w:type="dxa" w:w="70"/>
              <w:right w:type="dxa" w:w="120"/>
            </w:tcMar>
            <w:vAlign w:val="center"/>
          </w:tcPr>
          <w:p>
            <w:pPr>
              <w:spacing w:after="0" w:line="264"/>
            </w:pPr>
            <w:r>
              <w:t xml:space="preserve">Direct prompt injection</w:t>
            </w:r>
          </w:p>
        </w:tc>
        <w:tc>
          <w:tcPr>
            <w:tcW w:type="dxa" w:w="2000"/>
            <w:tcMar>
              <w:top w:type="dxa" w:w="70"/>
              <w:left w:type="dxa" w:w="120"/>
              <w:bottom w:type="dxa" w:w="70"/>
              <w:right w:type="dxa" w:w="120"/>
            </w:tcMar>
            <w:vAlign w:val="center"/>
          </w:tcPr>
          <w:p>
            <w:pPr>
              <w:spacing w:after="0" w:line="264"/>
            </w:pPr>
            <w:r>
              <w:t xml:space="preserve">reasoning</w:t>
            </w:r>
          </w:p>
        </w:tc>
        <w:tc>
          <w:tcPr>
            <w:tcW w:type="dxa" w:w="1900"/>
            <w:tcMar>
              <w:top w:type="dxa" w:w="70"/>
              <w:left w:type="dxa" w:w="120"/>
              <w:bottom w:type="dxa" w:w="70"/>
              <w:right w:type="dxa" w:w="120"/>
            </w:tcMar>
            <w:vAlign w:val="center"/>
          </w:tcPr>
          <w:p>
            <w:pPr>
              <w:spacing w:after="0" w:line="264"/>
            </w:pPr>
            <w:r>
              <w:t xml:space="preserve">CRITICAL</w:t>
            </w:r>
          </w:p>
        </w:tc>
      </w:tr>
      <w:tr>
        <w:tc>
          <w:tcPr>
            <w:tcW w:type="dxa" w:w="1500"/>
            <w:shd w:fill="F1F5F9" w:color="auto" w:val="clear"/>
            <w:tcMar>
              <w:top w:type="dxa" w:w="70"/>
              <w:left w:type="dxa" w:w="120"/>
              <w:bottom w:type="dxa" w:w="70"/>
              <w:right w:type="dxa" w:w="120"/>
            </w:tcMar>
            <w:vAlign w:val="center"/>
          </w:tcPr>
          <w:p>
            <w:pPr>
              <w:spacing w:after="0" w:line="264"/>
            </w:pPr>
            <w:r>
              <w:t xml:space="preserve">RT-INJ-I</w:t>
            </w:r>
          </w:p>
        </w:tc>
        <w:tc>
          <w:tcPr>
            <w:tcW w:type="dxa" w:w="3960"/>
            <w:shd w:fill="F1F5F9" w:color="auto" w:val="clear"/>
            <w:tcMar>
              <w:top w:type="dxa" w:w="70"/>
              <w:left w:type="dxa" w:w="120"/>
              <w:bottom w:type="dxa" w:w="70"/>
              <w:right w:type="dxa" w:w="120"/>
            </w:tcMar>
            <w:vAlign w:val="center"/>
          </w:tcPr>
          <w:p>
            <w:pPr>
              <w:spacing w:after="0" w:line="264"/>
            </w:pPr>
            <w:r>
              <w:t xml:space="preserve">Indirect / second-order injection</w:t>
            </w:r>
          </w:p>
        </w:tc>
        <w:tc>
          <w:tcPr>
            <w:tcW w:type="dxa" w:w="2000"/>
            <w:shd w:fill="F1F5F9" w:color="auto" w:val="clear"/>
            <w:tcMar>
              <w:top w:type="dxa" w:w="70"/>
              <w:left w:type="dxa" w:w="120"/>
              <w:bottom w:type="dxa" w:w="70"/>
              <w:right w:type="dxa" w:w="120"/>
            </w:tcMar>
            <w:vAlign w:val="center"/>
          </w:tcPr>
          <w:p>
            <w:pPr>
              <w:spacing w:after="0" w:line="264"/>
            </w:pPr>
            <w:r>
              <w:t xml:space="preserve">perception</w:t>
            </w:r>
          </w:p>
        </w:tc>
        <w:tc>
          <w:tcPr>
            <w:tcW w:type="dxa" w:w="1900"/>
            <w:shd w:fill="F1F5F9" w:color="auto" w:val="clear"/>
            <w:tcMar>
              <w:top w:type="dxa" w:w="70"/>
              <w:left w:type="dxa" w:w="120"/>
              <w:bottom w:type="dxa" w:w="70"/>
              <w:right w:type="dxa" w:w="120"/>
            </w:tcMar>
            <w:vAlign w:val="center"/>
          </w:tcPr>
          <w:p>
            <w:pPr>
              <w:spacing w:after="0" w:line="264"/>
            </w:pPr>
            <w:r>
              <w:t xml:space="preserve">CRITICAL</w:t>
            </w:r>
          </w:p>
        </w:tc>
      </w:tr>
      <w:tr>
        <w:tc>
          <w:tcPr>
            <w:tcW w:type="dxa" w:w="1500"/>
            <w:tcMar>
              <w:top w:type="dxa" w:w="70"/>
              <w:left w:type="dxa" w:w="120"/>
              <w:bottom w:type="dxa" w:w="70"/>
              <w:right w:type="dxa" w:w="120"/>
            </w:tcMar>
            <w:vAlign w:val="center"/>
          </w:tcPr>
          <w:p>
            <w:pPr>
              <w:spacing w:after="0" w:line="264"/>
            </w:pPr>
            <w:r>
              <w:t xml:space="preserve">RT-JBK</w:t>
            </w:r>
          </w:p>
        </w:tc>
        <w:tc>
          <w:tcPr>
            <w:tcW w:type="dxa" w:w="3960"/>
            <w:tcMar>
              <w:top w:type="dxa" w:w="70"/>
              <w:left w:type="dxa" w:w="120"/>
              <w:bottom w:type="dxa" w:w="70"/>
              <w:right w:type="dxa" w:w="120"/>
            </w:tcMar>
            <w:vAlign w:val="center"/>
          </w:tcPr>
          <w:p>
            <w:pPr>
              <w:spacing w:after="0" w:line="264"/>
            </w:pPr>
            <w:r>
              <w:t xml:space="preserve">Jailbreak</w:t>
            </w:r>
          </w:p>
        </w:tc>
        <w:tc>
          <w:tcPr>
            <w:tcW w:type="dxa" w:w="2000"/>
            <w:tcMar>
              <w:top w:type="dxa" w:w="70"/>
              <w:left w:type="dxa" w:w="120"/>
              <w:bottom w:type="dxa" w:w="70"/>
              <w:right w:type="dxa" w:w="120"/>
            </w:tcMar>
            <w:vAlign w:val="center"/>
          </w:tcPr>
          <w:p>
            <w:pPr>
              <w:spacing w:after="0" w:line="264"/>
            </w:pPr>
            <w:r>
              <w:t xml:space="preserve">reasoning</w:t>
            </w:r>
          </w:p>
        </w:tc>
        <w:tc>
          <w:tcPr>
            <w:tcW w:type="dxa" w:w="1900"/>
            <w:tcMar>
              <w:top w:type="dxa" w:w="70"/>
              <w:left w:type="dxa" w:w="120"/>
              <w:bottom w:type="dxa" w:w="70"/>
              <w:right w:type="dxa" w:w="120"/>
            </w:tcMar>
            <w:vAlign w:val="center"/>
          </w:tcPr>
          <w:p>
            <w:pPr>
              <w:spacing w:after="0" w:line="264"/>
            </w:pPr>
            <w:r>
              <w:t xml:space="preserve">HIGH</w:t>
            </w:r>
          </w:p>
        </w:tc>
      </w:tr>
      <w:tr>
        <w:tc>
          <w:tcPr>
            <w:tcW w:type="dxa" w:w="1500"/>
            <w:shd w:fill="F1F5F9" w:color="auto" w:val="clear"/>
            <w:tcMar>
              <w:top w:type="dxa" w:w="70"/>
              <w:left w:type="dxa" w:w="120"/>
              <w:bottom w:type="dxa" w:w="70"/>
              <w:right w:type="dxa" w:w="120"/>
            </w:tcMar>
            <w:vAlign w:val="center"/>
          </w:tcPr>
          <w:p>
            <w:pPr>
              <w:spacing w:after="0" w:line="264"/>
            </w:pPr>
            <w:r>
              <w:t xml:space="preserve">RT-GOAL</w:t>
            </w:r>
          </w:p>
        </w:tc>
        <w:tc>
          <w:tcPr>
            <w:tcW w:type="dxa" w:w="3960"/>
            <w:shd w:fill="F1F5F9" w:color="auto" w:val="clear"/>
            <w:tcMar>
              <w:top w:type="dxa" w:w="70"/>
              <w:left w:type="dxa" w:w="120"/>
              <w:bottom w:type="dxa" w:w="70"/>
              <w:right w:type="dxa" w:w="120"/>
            </w:tcMar>
            <w:vAlign w:val="center"/>
          </w:tcPr>
          <w:p>
            <w:pPr>
              <w:spacing w:after="0" w:line="264"/>
            </w:pPr>
            <w:r>
              <w:t xml:space="preserve">Goal hijacking</w:t>
            </w:r>
          </w:p>
        </w:tc>
        <w:tc>
          <w:tcPr>
            <w:tcW w:type="dxa" w:w="2000"/>
            <w:shd w:fill="F1F5F9" w:color="auto" w:val="clear"/>
            <w:tcMar>
              <w:top w:type="dxa" w:w="70"/>
              <w:left w:type="dxa" w:w="120"/>
              <w:bottom w:type="dxa" w:w="70"/>
              <w:right w:type="dxa" w:w="120"/>
            </w:tcMar>
            <w:vAlign w:val="center"/>
          </w:tcPr>
          <w:p>
            <w:pPr>
              <w:spacing w:after="0" w:line="264"/>
            </w:pPr>
            <w:r>
              <w:t xml:space="preserve">reasoning</w:t>
            </w:r>
          </w:p>
        </w:tc>
        <w:tc>
          <w:tcPr>
            <w:tcW w:type="dxa" w:w="1900"/>
            <w:shd w:fill="F1F5F9" w:color="auto" w:val="clear"/>
            <w:tcMar>
              <w:top w:type="dxa" w:w="70"/>
              <w:left w:type="dxa" w:w="120"/>
              <w:bottom w:type="dxa" w:w="70"/>
              <w:right w:type="dxa" w:w="120"/>
            </w:tcMar>
            <w:vAlign w:val="center"/>
          </w:tcPr>
          <w:p>
            <w:pPr>
              <w:spacing w:after="0" w:line="264"/>
            </w:pPr>
            <w:r>
              <w:t xml:space="preserve">HIGH</w:t>
            </w:r>
          </w:p>
        </w:tc>
      </w:tr>
      <w:tr>
        <w:tc>
          <w:tcPr>
            <w:tcW w:type="dxa" w:w="1500"/>
            <w:tcMar>
              <w:top w:type="dxa" w:w="70"/>
              <w:left w:type="dxa" w:w="120"/>
              <w:bottom w:type="dxa" w:w="70"/>
              <w:right w:type="dxa" w:w="120"/>
            </w:tcMar>
            <w:vAlign w:val="center"/>
          </w:tcPr>
          <w:p>
            <w:pPr>
              <w:spacing w:after="0" w:line="264"/>
            </w:pPr>
            <w:r>
              <w:t xml:space="preserve">RT-MEMP</w:t>
            </w:r>
          </w:p>
        </w:tc>
        <w:tc>
          <w:tcPr>
            <w:tcW w:type="dxa" w:w="3960"/>
            <w:tcMar>
              <w:top w:type="dxa" w:w="70"/>
              <w:left w:type="dxa" w:w="120"/>
              <w:bottom w:type="dxa" w:w="70"/>
              <w:right w:type="dxa" w:w="120"/>
            </w:tcMar>
            <w:vAlign w:val="center"/>
          </w:tcPr>
          <w:p>
            <w:pPr>
              <w:spacing w:after="0" w:line="264"/>
            </w:pPr>
            <w:r>
              <w:t xml:space="preserve">Memory poisoning</w:t>
            </w:r>
          </w:p>
        </w:tc>
        <w:tc>
          <w:tcPr>
            <w:tcW w:type="dxa" w:w="2000"/>
            <w:tcMar>
              <w:top w:type="dxa" w:w="70"/>
              <w:left w:type="dxa" w:w="120"/>
              <w:bottom w:type="dxa" w:w="70"/>
              <w:right w:type="dxa" w:w="120"/>
            </w:tcMar>
            <w:vAlign w:val="center"/>
          </w:tcPr>
          <w:p>
            <w:pPr>
              <w:spacing w:after="0" w:line="264"/>
            </w:pPr>
            <w:r>
              <w:t xml:space="preserve">memory</w:t>
            </w:r>
          </w:p>
        </w:tc>
        <w:tc>
          <w:tcPr>
            <w:tcW w:type="dxa" w:w="1900"/>
            <w:tcMar>
              <w:top w:type="dxa" w:w="70"/>
              <w:left w:type="dxa" w:w="120"/>
              <w:bottom w:type="dxa" w:w="70"/>
              <w:right w:type="dxa" w:w="120"/>
            </w:tcMar>
            <w:vAlign w:val="center"/>
          </w:tcPr>
          <w:p>
            <w:pPr>
              <w:spacing w:after="0" w:line="264"/>
            </w:pPr>
            <w:r>
              <w:t xml:space="preserve">HIGH</w:t>
            </w:r>
          </w:p>
        </w:tc>
      </w:tr>
      <w:tr>
        <w:tc>
          <w:tcPr>
            <w:tcW w:type="dxa" w:w="1500"/>
            <w:shd w:fill="F1F5F9" w:color="auto" w:val="clear"/>
            <w:tcMar>
              <w:top w:type="dxa" w:w="70"/>
              <w:left w:type="dxa" w:w="120"/>
              <w:bottom w:type="dxa" w:w="70"/>
              <w:right w:type="dxa" w:w="120"/>
            </w:tcMar>
            <w:vAlign w:val="center"/>
          </w:tcPr>
          <w:p>
            <w:pPr>
              <w:spacing w:after="0" w:line="264"/>
            </w:pPr>
            <w:r>
              <w:t xml:space="preserve">RT-TOOL</w:t>
            </w:r>
          </w:p>
        </w:tc>
        <w:tc>
          <w:tcPr>
            <w:tcW w:type="dxa" w:w="3960"/>
            <w:shd w:fill="F1F5F9" w:color="auto" w:val="clear"/>
            <w:tcMar>
              <w:top w:type="dxa" w:w="70"/>
              <w:left w:type="dxa" w:w="120"/>
              <w:bottom w:type="dxa" w:w="70"/>
              <w:right w:type="dxa" w:w="120"/>
            </w:tcMar>
            <w:vAlign w:val="center"/>
          </w:tcPr>
          <w:p>
            <w:pPr>
              <w:spacing w:after="0" w:line="264"/>
            </w:pPr>
            <w:r>
              <w:t xml:space="preserve">Tool / function misuse</w:t>
            </w:r>
          </w:p>
        </w:tc>
        <w:tc>
          <w:tcPr>
            <w:tcW w:type="dxa" w:w="2000"/>
            <w:shd w:fill="F1F5F9" w:color="auto" w:val="clear"/>
            <w:tcMar>
              <w:top w:type="dxa" w:w="70"/>
              <w:left w:type="dxa" w:w="120"/>
              <w:bottom w:type="dxa" w:w="70"/>
              <w:right w:type="dxa" w:w="120"/>
            </w:tcMar>
            <w:vAlign w:val="center"/>
          </w:tcPr>
          <w:p>
            <w:pPr>
              <w:spacing w:after="0" w:line="264"/>
            </w:pPr>
            <w:r>
              <w:t xml:space="preserve">tool</w:t>
            </w:r>
          </w:p>
        </w:tc>
        <w:tc>
          <w:tcPr>
            <w:tcW w:type="dxa" w:w="1900"/>
            <w:shd w:fill="F1F5F9" w:color="auto" w:val="clear"/>
            <w:tcMar>
              <w:top w:type="dxa" w:w="70"/>
              <w:left w:type="dxa" w:w="120"/>
              <w:bottom w:type="dxa" w:w="70"/>
              <w:right w:type="dxa" w:w="120"/>
            </w:tcMar>
            <w:vAlign w:val="center"/>
          </w:tcPr>
          <w:p>
            <w:pPr>
              <w:spacing w:after="0" w:line="264"/>
            </w:pPr>
            <w:r>
              <w:t xml:space="preserve">CRITICAL</w:t>
            </w:r>
          </w:p>
        </w:tc>
      </w:tr>
      <w:tr>
        <w:tc>
          <w:tcPr>
            <w:tcW w:type="dxa" w:w="1500"/>
            <w:tcMar>
              <w:top w:type="dxa" w:w="70"/>
              <w:left w:type="dxa" w:w="120"/>
              <w:bottom w:type="dxa" w:w="70"/>
              <w:right w:type="dxa" w:w="120"/>
            </w:tcMar>
            <w:vAlign w:val="center"/>
          </w:tcPr>
          <w:p>
            <w:pPr>
              <w:spacing w:after="0" w:line="264"/>
            </w:pPr>
            <w:r>
              <w:t xml:space="preserve">RT-EXF</w:t>
            </w:r>
          </w:p>
        </w:tc>
        <w:tc>
          <w:tcPr>
            <w:tcW w:type="dxa" w:w="3960"/>
            <w:tcMar>
              <w:top w:type="dxa" w:w="70"/>
              <w:left w:type="dxa" w:w="120"/>
              <w:bottom w:type="dxa" w:w="70"/>
              <w:right w:type="dxa" w:w="120"/>
            </w:tcMar>
            <w:vAlign w:val="center"/>
          </w:tcPr>
          <w:p>
            <w:pPr>
              <w:spacing w:after="0" w:line="264"/>
            </w:pPr>
            <w:r>
              <w:t xml:space="preserve">Data exfiltration</w:t>
            </w:r>
          </w:p>
        </w:tc>
        <w:tc>
          <w:tcPr>
            <w:tcW w:type="dxa" w:w="2000"/>
            <w:tcMar>
              <w:top w:type="dxa" w:w="70"/>
              <w:left w:type="dxa" w:w="120"/>
              <w:bottom w:type="dxa" w:w="70"/>
              <w:right w:type="dxa" w:w="120"/>
            </w:tcMar>
            <w:vAlign w:val="center"/>
          </w:tcPr>
          <w:p>
            <w:pPr>
              <w:spacing w:after="0" w:line="264"/>
            </w:pPr>
            <w:r>
              <w:t xml:space="preserve">tool</w:t>
            </w:r>
          </w:p>
        </w:tc>
        <w:tc>
          <w:tcPr>
            <w:tcW w:type="dxa" w:w="1900"/>
            <w:tcMar>
              <w:top w:type="dxa" w:w="70"/>
              <w:left w:type="dxa" w:w="120"/>
              <w:bottom w:type="dxa" w:w="70"/>
              <w:right w:type="dxa" w:w="120"/>
            </w:tcMar>
            <w:vAlign w:val="center"/>
          </w:tcPr>
          <w:p>
            <w:pPr>
              <w:spacing w:after="0" w:line="264"/>
            </w:pPr>
            <w:r>
              <w:t xml:space="preserve">CRITICAL</w:t>
            </w:r>
          </w:p>
        </w:tc>
      </w:tr>
      <w:tr>
        <w:tc>
          <w:tcPr>
            <w:tcW w:type="dxa" w:w="1500"/>
            <w:shd w:fill="F1F5F9" w:color="auto" w:val="clear"/>
            <w:tcMar>
              <w:top w:type="dxa" w:w="70"/>
              <w:left w:type="dxa" w:w="120"/>
              <w:bottom w:type="dxa" w:w="70"/>
              <w:right w:type="dxa" w:w="120"/>
            </w:tcMar>
            <w:vAlign w:val="center"/>
          </w:tcPr>
          <w:p>
            <w:pPr>
              <w:spacing w:after="0" w:line="264"/>
            </w:pPr>
            <w:r>
              <w:t xml:space="preserve">RT-PRIV</w:t>
            </w:r>
          </w:p>
        </w:tc>
        <w:tc>
          <w:tcPr>
            <w:tcW w:type="dxa" w:w="3960"/>
            <w:shd w:fill="F1F5F9" w:color="auto" w:val="clear"/>
            <w:tcMar>
              <w:top w:type="dxa" w:w="70"/>
              <w:left w:type="dxa" w:w="120"/>
              <w:bottom w:type="dxa" w:w="70"/>
              <w:right w:type="dxa" w:w="120"/>
            </w:tcMar>
            <w:vAlign w:val="center"/>
          </w:tcPr>
          <w:p>
            <w:pPr>
              <w:spacing w:after="0" w:line="264"/>
            </w:pPr>
            <w:r>
              <w:t xml:space="preserve">Privilege escalation</w:t>
            </w:r>
          </w:p>
        </w:tc>
        <w:tc>
          <w:tcPr>
            <w:tcW w:type="dxa" w:w="2000"/>
            <w:shd w:fill="F1F5F9" w:color="auto" w:val="clear"/>
            <w:tcMar>
              <w:top w:type="dxa" w:w="70"/>
              <w:left w:type="dxa" w:w="120"/>
              <w:bottom w:type="dxa" w:w="70"/>
              <w:right w:type="dxa" w:w="120"/>
            </w:tcMar>
            <w:vAlign w:val="center"/>
          </w:tcPr>
          <w:p>
            <w:pPr>
              <w:spacing w:after="0" w:line="264"/>
            </w:pPr>
            <w:r>
              <w:t xml:space="preserve">tool</w:t>
            </w:r>
          </w:p>
        </w:tc>
        <w:tc>
          <w:tcPr>
            <w:tcW w:type="dxa" w:w="1900"/>
            <w:shd w:fill="F1F5F9" w:color="auto" w:val="clear"/>
            <w:tcMar>
              <w:top w:type="dxa" w:w="70"/>
              <w:left w:type="dxa" w:w="120"/>
              <w:bottom w:type="dxa" w:w="70"/>
              <w:right w:type="dxa" w:w="120"/>
            </w:tcMar>
            <w:vAlign w:val="center"/>
          </w:tcPr>
          <w:p>
            <w:pPr>
              <w:spacing w:after="0" w:line="264"/>
            </w:pPr>
            <w:r>
              <w:t xml:space="preserve">HIGH</w:t>
            </w:r>
          </w:p>
        </w:tc>
      </w:tr>
      <w:tr>
        <w:tc>
          <w:tcPr>
            <w:tcW w:type="dxa" w:w="1500"/>
            <w:tcMar>
              <w:top w:type="dxa" w:w="70"/>
              <w:left w:type="dxa" w:w="120"/>
              <w:bottom w:type="dxa" w:w="70"/>
              <w:right w:type="dxa" w:w="120"/>
            </w:tcMar>
            <w:vAlign w:val="center"/>
          </w:tcPr>
          <w:p>
            <w:pPr>
              <w:spacing w:after="0" w:line="264"/>
            </w:pPr>
            <w:r>
              <w:t xml:space="preserve">RT-XAG</w:t>
            </w:r>
          </w:p>
        </w:tc>
        <w:tc>
          <w:tcPr>
            <w:tcW w:type="dxa" w:w="3960"/>
            <w:tcMar>
              <w:top w:type="dxa" w:w="70"/>
              <w:left w:type="dxa" w:w="120"/>
              <w:bottom w:type="dxa" w:w="70"/>
              <w:right w:type="dxa" w:w="120"/>
            </w:tcMar>
            <w:vAlign w:val="center"/>
          </w:tcPr>
          <w:p>
            <w:pPr>
              <w:spacing w:after="0" w:line="264"/>
            </w:pPr>
            <w:r>
              <w:t xml:space="preserve">Cross-agent propagation</w:t>
            </w:r>
          </w:p>
        </w:tc>
        <w:tc>
          <w:tcPr>
            <w:tcW w:type="dxa" w:w="2000"/>
            <w:tcMar>
              <w:top w:type="dxa" w:w="70"/>
              <w:left w:type="dxa" w:w="120"/>
              <w:bottom w:type="dxa" w:w="70"/>
              <w:right w:type="dxa" w:w="120"/>
            </w:tcMar>
            <w:vAlign w:val="center"/>
          </w:tcPr>
          <w:p>
            <w:pPr>
              <w:spacing w:after="0" w:line="264"/>
            </w:pPr>
            <w:r>
              <w:t xml:space="preserve">multi-agent</w:t>
            </w:r>
          </w:p>
        </w:tc>
        <w:tc>
          <w:tcPr>
            <w:tcW w:type="dxa" w:w="1900"/>
            <w:tcMar>
              <w:top w:type="dxa" w:w="70"/>
              <w:left w:type="dxa" w:w="120"/>
              <w:bottom w:type="dxa" w:w="70"/>
              <w:right w:type="dxa" w:w="120"/>
            </w:tcMar>
            <w:vAlign w:val="center"/>
          </w:tcPr>
          <w:p>
            <w:pPr>
              <w:spacing w:after="0" w:line="264"/>
            </w:pPr>
            <w:r>
              <w:t xml:space="preserve">HIGH</w:t>
            </w:r>
          </w:p>
        </w:tc>
      </w:tr>
    </w:tbl>
    <w:p>
      <w:pPr>
        <w:spacing w:after="40"/>
      </w:pPr>
      <w:r>
        <w:t xml:space="preserve"/>
      </w:r>
    </w:p>
    <w:p>
      <w:pPr>
        <w:spacing w:after="120" w:before="0" w:line="276"/>
      </w:pPr>
      <w:r>
        <w:rPr>
          <w:b/>
          <w:bCs/>
        </w:rPr>
        <w:t xml:space="preserve">Reporting honesty. </w:t>
      </w:r>
      <w:r>
        <w:t xml:space="preserve">Reports lead with </w:t>
      </w:r>
      <w:r>
        <w:rPr>
          <w:b/>
          <w:bCs/>
        </w:rPr>
        <w:t xml:space="preserve">Defense Coverage</w:t>
      </w:r>
      <w:r>
        <w:t xml:space="preserve"> and </w:t>
      </w:r>
      <w:r>
        <w:rPr>
          <w:b/>
          <w:bCs/>
        </w:rPr>
        <w:t xml:space="preserve">Residual Exposure</w:t>
      </w:r>
      <w:r>
        <w:t xml:space="preserve">, not ASR. ASR (Attack Success Rate) is reported for </w:t>
      </w:r>
      <w:r>
        <w:rPr>
          <w:i/>
          <w:iCs/>
        </w:rPr>
        <w:t xml:space="preserve">undefended families only</w:t>
      </w:r>
      <w:r>
        <w:t xml:space="preserve">. Because static inference cannot prove a live defence, findings carry MEDIUM/LOW confidence, are labelled simulated, and static posture is </w:t>
      </w:r>
      <w:r>
        <w:rPr>
          <w:b/>
          <w:bCs/>
        </w:rPr>
        <w:t xml:space="preserve">capped at WARN — never PASS</w:t>
      </w:r>
      <w:r>
        <w:t xml:space="preserve">. Defense coverage is computed as (resisted + 0.5×partial) / attempts; residual exposure is 1 − coverage.</w:t>
      </w:r>
    </w:p>
    <w:p>
      <w:pPr>
        <w:pStyle w:val="Heading2"/>
        <w:spacing w:after="120" w:before="240"/>
      </w:pPr>
      <w:r>
        <w:t xml:space="preserve">6.2 Responsible AI posture</w:t>
      </w:r>
    </w:p>
    <w:p>
      <w:pPr>
        <w:spacing w:after="120" w:before="0" w:line="276"/>
      </w:pPr>
      <w:r>
        <w:t xml:space="preserve">agentshield/responsible_ai.py scores six publicly documented Responsible AI pillars (aligned with the public Microsoft Responsible AI Standard and NIST AI RMF framings) into an advisory RAI-PASS / RAI-WARN / RAI-BLOCK posture. It is simulation-only: it never certifies a system, never authorizes an action, and never invents missing evidence — absent pillars lower coverage and confidence and can never raise the score.</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1300"/>
        <w:gridCol w:w="6860"/>
        <w:gridCol w:w="1200"/>
      </w:tblGrid>
      <w:tr>
        <w:trPr>
          <w:tblHeader/>
        </w:trPr>
        <w:tc>
          <w:tcPr>
            <w:tcW w:type="dxa" w:w="1300"/>
            <w:shd w:fill="0B1F3A" w:color="auto" w:val="clear"/>
            <w:tcMar>
              <w:top w:type="dxa" w:w="70"/>
              <w:left w:type="dxa" w:w="120"/>
              <w:bottom w:type="dxa" w:w="70"/>
              <w:right w:type="dxa" w:w="120"/>
            </w:tcMar>
            <w:vAlign w:val="center"/>
          </w:tcPr>
          <w:p>
            <w:pPr>
              <w:spacing w:after="0" w:line="264"/>
            </w:pPr>
            <w:r>
              <w:rPr>
                <w:b/>
                <w:bCs/>
                <w:color w:val="FFFFFF"/>
              </w:rPr>
              <w:t xml:space="preserve">Pillar</w:t>
            </w:r>
          </w:p>
        </w:tc>
        <w:tc>
          <w:tcPr>
            <w:tcW w:type="dxa" w:w="6860"/>
            <w:shd w:fill="0B1F3A" w:color="auto" w:val="clear"/>
            <w:tcMar>
              <w:top w:type="dxa" w:w="70"/>
              <w:left w:type="dxa" w:w="120"/>
              <w:bottom w:type="dxa" w:w="70"/>
              <w:right w:type="dxa" w:w="120"/>
            </w:tcMar>
            <w:vAlign w:val="center"/>
          </w:tcPr>
          <w:p>
            <w:pPr>
              <w:spacing w:after="0" w:line="264"/>
            </w:pPr>
            <w:r>
              <w:rPr>
                <w:b/>
                <w:bCs/>
                <w:color w:val="FFFFFF"/>
              </w:rPr>
              <w:t xml:space="preserve">Name</w:t>
            </w:r>
          </w:p>
        </w:tc>
        <w:tc>
          <w:tcPr>
            <w:tcW w:type="dxa" w:w="1200"/>
            <w:shd w:fill="0B1F3A" w:color="auto" w:val="clear"/>
            <w:tcMar>
              <w:top w:type="dxa" w:w="70"/>
              <w:left w:type="dxa" w:w="120"/>
              <w:bottom w:type="dxa" w:w="70"/>
              <w:right w:type="dxa" w:w="120"/>
            </w:tcMar>
            <w:vAlign w:val="center"/>
          </w:tcPr>
          <w:p>
            <w:pPr>
              <w:spacing w:after="0" w:line="264"/>
            </w:pPr>
            <w:r>
              <w:rPr>
                <w:b/>
                <w:bCs/>
                <w:color w:val="FFFFFF"/>
              </w:rPr>
              <w:t xml:space="preserve">Weight</w:t>
            </w:r>
          </w:p>
        </w:tc>
      </w:tr>
      <w:tr>
        <w:tc>
          <w:tcPr>
            <w:tcW w:type="dxa" w:w="1300"/>
            <w:tcMar>
              <w:top w:type="dxa" w:w="70"/>
              <w:left w:type="dxa" w:w="120"/>
              <w:bottom w:type="dxa" w:w="70"/>
              <w:right w:type="dxa" w:w="120"/>
            </w:tcMar>
            <w:vAlign w:val="center"/>
          </w:tcPr>
          <w:p>
            <w:pPr>
              <w:spacing w:after="0" w:line="264"/>
            </w:pPr>
            <w:r>
              <w:t xml:space="preserve">RAI-01</w:t>
            </w:r>
          </w:p>
        </w:tc>
        <w:tc>
          <w:tcPr>
            <w:tcW w:type="dxa" w:w="6860"/>
            <w:tcMar>
              <w:top w:type="dxa" w:w="70"/>
              <w:left w:type="dxa" w:w="120"/>
              <w:bottom w:type="dxa" w:w="70"/>
              <w:right w:type="dxa" w:w="120"/>
            </w:tcMar>
            <w:vAlign w:val="center"/>
          </w:tcPr>
          <w:p>
            <w:pPr>
              <w:spacing w:after="0" w:line="264"/>
            </w:pPr>
            <w:r>
              <w:t xml:space="preserve">Fairness and non-discrimination</w:t>
            </w:r>
          </w:p>
        </w:tc>
        <w:tc>
          <w:tcPr>
            <w:tcW w:type="dxa" w:w="1200"/>
            <w:tcMar>
              <w:top w:type="dxa" w:w="70"/>
              <w:left w:type="dxa" w:w="120"/>
              <w:bottom w:type="dxa" w:w="70"/>
              <w:right w:type="dxa" w:w="120"/>
            </w:tcMar>
            <w:vAlign w:val="center"/>
          </w:tcPr>
          <w:p>
            <w:pPr>
              <w:spacing w:after="0" w:line="264"/>
            </w:pPr>
            <w:r>
              <w:t xml:space="preserve">20</w:t>
            </w:r>
          </w:p>
        </w:tc>
      </w:tr>
      <w:tr>
        <w:tc>
          <w:tcPr>
            <w:tcW w:type="dxa" w:w="1300"/>
            <w:shd w:fill="F1F5F9" w:color="auto" w:val="clear"/>
            <w:tcMar>
              <w:top w:type="dxa" w:w="70"/>
              <w:left w:type="dxa" w:w="120"/>
              <w:bottom w:type="dxa" w:w="70"/>
              <w:right w:type="dxa" w:w="120"/>
            </w:tcMar>
            <w:vAlign w:val="center"/>
          </w:tcPr>
          <w:p>
            <w:pPr>
              <w:spacing w:after="0" w:line="264"/>
            </w:pPr>
            <w:r>
              <w:t xml:space="preserve">RAI-02</w:t>
            </w:r>
          </w:p>
        </w:tc>
        <w:tc>
          <w:tcPr>
            <w:tcW w:type="dxa" w:w="6860"/>
            <w:shd w:fill="F1F5F9" w:color="auto" w:val="clear"/>
            <w:tcMar>
              <w:top w:type="dxa" w:w="70"/>
              <w:left w:type="dxa" w:w="120"/>
              <w:bottom w:type="dxa" w:w="70"/>
              <w:right w:type="dxa" w:w="120"/>
            </w:tcMar>
            <w:vAlign w:val="center"/>
          </w:tcPr>
          <w:p>
            <w:pPr>
              <w:spacing w:after="0" w:line="264"/>
            </w:pPr>
            <w:r>
              <w:t xml:space="preserve">Reliability and safety</w:t>
            </w:r>
          </w:p>
        </w:tc>
        <w:tc>
          <w:tcPr>
            <w:tcW w:type="dxa" w:w="1200"/>
            <w:shd w:fill="F1F5F9" w:color="auto" w:val="clear"/>
            <w:tcMar>
              <w:top w:type="dxa" w:w="70"/>
              <w:left w:type="dxa" w:w="120"/>
              <w:bottom w:type="dxa" w:w="70"/>
              <w:right w:type="dxa" w:w="120"/>
            </w:tcMar>
            <w:vAlign w:val="center"/>
          </w:tcPr>
          <w:p>
            <w:pPr>
              <w:spacing w:after="0" w:line="264"/>
            </w:pPr>
            <w:r>
              <w:t xml:space="preserve">20</w:t>
            </w:r>
          </w:p>
        </w:tc>
      </w:tr>
      <w:tr>
        <w:tc>
          <w:tcPr>
            <w:tcW w:type="dxa" w:w="1300"/>
            <w:tcMar>
              <w:top w:type="dxa" w:w="70"/>
              <w:left w:type="dxa" w:w="120"/>
              <w:bottom w:type="dxa" w:w="70"/>
              <w:right w:type="dxa" w:w="120"/>
            </w:tcMar>
            <w:vAlign w:val="center"/>
          </w:tcPr>
          <w:p>
            <w:pPr>
              <w:spacing w:after="0" w:line="264"/>
            </w:pPr>
            <w:r>
              <w:t xml:space="preserve">RAI-03</w:t>
            </w:r>
          </w:p>
        </w:tc>
        <w:tc>
          <w:tcPr>
            <w:tcW w:type="dxa" w:w="6860"/>
            <w:tcMar>
              <w:top w:type="dxa" w:w="70"/>
              <w:left w:type="dxa" w:w="120"/>
              <w:bottom w:type="dxa" w:w="70"/>
              <w:right w:type="dxa" w:w="120"/>
            </w:tcMar>
            <w:vAlign w:val="center"/>
          </w:tcPr>
          <w:p>
            <w:pPr>
              <w:spacing w:after="0" w:line="264"/>
            </w:pPr>
            <w:r>
              <w:t xml:space="preserve">Privacy and security</w:t>
            </w:r>
          </w:p>
        </w:tc>
        <w:tc>
          <w:tcPr>
            <w:tcW w:type="dxa" w:w="1200"/>
            <w:tcMar>
              <w:top w:type="dxa" w:w="70"/>
              <w:left w:type="dxa" w:w="120"/>
              <w:bottom w:type="dxa" w:w="70"/>
              <w:right w:type="dxa" w:w="120"/>
            </w:tcMar>
            <w:vAlign w:val="center"/>
          </w:tcPr>
          <w:p>
            <w:pPr>
              <w:spacing w:after="0" w:line="264"/>
            </w:pPr>
            <w:r>
              <w:t xml:space="preserve">18</w:t>
            </w:r>
          </w:p>
        </w:tc>
      </w:tr>
      <w:tr>
        <w:tc>
          <w:tcPr>
            <w:tcW w:type="dxa" w:w="1300"/>
            <w:shd w:fill="F1F5F9" w:color="auto" w:val="clear"/>
            <w:tcMar>
              <w:top w:type="dxa" w:w="70"/>
              <w:left w:type="dxa" w:w="120"/>
              <w:bottom w:type="dxa" w:w="70"/>
              <w:right w:type="dxa" w:w="120"/>
            </w:tcMar>
            <w:vAlign w:val="center"/>
          </w:tcPr>
          <w:p>
            <w:pPr>
              <w:spacing w:after="0" w:line="264"/>
            </w:pPr>
            <w:r>
              <w:t xml:space="preserve">RAI-04</w:t>
            </w:r>
          </w:p>
        </w:tc>
        <w:tc>
          <w:tcPr>
            <w:tcW w:type="dxa" w:w="6860"/>
            <w:shd w:fill="F1F5F9" w:color="auto" w:val="clear"/>
            <w:tcMar>
              <w:top w:type="dxa" w:w="70"/>
              <w:left w:type="dxa" w:w="120"/>
              <w:bottom w:type="dxa" w:w="70"/>
              <w:right w:type="dxa" w:w="120"/>
            </w:tcMar>
            <w:vAlign w:val="center"/>
          </w:tcPr>
          <w:p>
            <w:pPr>
              <w:spacing w:after="0" w:line="264"/>
            </w:pPr>
            <w:r>
              <w:t xml:space="preserve">Inclusiveness and accessibility</w:t>
            </w:r>
          </w:p>
        </w:tc>
        <w:tc>
          <w:tcPr>
            <w:tcW w:type="dxa" w:w="1200"/>
            <w:shd w:fill="F1F5F9" w:color="auto" w:val="clear"/>
            <w:tcMar>
              <w:top w:type="dxa" w:w="70"/>
              <w:left w:type="dxa" w:w="120"/>
              <w:bottom w:type="dxa" w:w="70"/>
              <w:right w:type="dxa" w:w="120"/>
            </w:tcMar>
            <w:vAlign w:val="center"/>
          </w:tcPr>
          <w:p>
            <w:pPr>
              <w:spacing w:after="0" w:line="264"/>
            </w:pPr>
            <w:r>
              <w:t xml:space="preserve">12</w:t>
            </w:r>
          </w:p>
        </w:tc>
      </w:tr>
      <w:tr>
        <w:tc>
          <w:tcPr>
            <w:tcW w:type="dxa" w:w="1300"/>
            <w:tcMar>
              <w:top w:type="dxa" w:w="70"/>
              <w:left w:type="dxa" w:w="120"/>
              <w:bottom w:type="dxa" w:w="70"/>
              <w:right w:type="dxa" w:w="120"/>
            </w:tcMar>
            <w:vAlign w:val="center"/>
          </w:tcPr>
          <w:p>
            <w:pPr>
              <w:spacing w:after="0" w:line="264"/>
            </w:pPr>
            <w:r>
              <w:t xml:space="preserve">RAI-05</w:t>
            </w:r>
          </w:p>
        </w:tc>
        <w:tc>
          <w:tcPr>
            <w:tcW w:type="dxa" w:w="6860"/>
            <w:tcMar>
              <w:top w:type="dxa" w:w="70"/>
              <w:left w:type="dxa" w:w="120"/>
              <w:bottom w:type="dxa" w:w="70"/>
              <w:right w:type="dxa" w:w="120"/>
            </w:tcMar>
            <w:vAlign w:val="center"/>
          </w:tcPr>
          <w:p>
            <w:pPr>
              <w:spacing w:after="0" w:line="264"/>
            </w:pPr>
            <w:r>
              <w:t xml:space="preserve">Transparency and interpretability</w:t>
            </w:r>
          </w:p>
        </w:tc>
        <w:tc>
          <w:tcPr>
            <w:tcW w:type="dxa" w:w="1200"/>
            <w:tcMar>
              <w:top w:type="dxa" w:w="70"/>
              <w:left w:type="dxa" w:w="120"/>
              <w:bottom w:type="dxa" w:w="70"/>
              <w:right w:type="dxa" w:w="120"/>
            </w:tcMar>
            <w:vAlign w:val="center"/>
          </w:tcPr>
          <w:p>
            <w:pPr>
              <w:spacing w:after="0" w:line="264"/>
            </w:pPr>
            <w:r>
              <w:t xml:space="preserve">16</w:t>
            </w:r>
          </w:p>
        </w:tc>
      </w:tr>
      <w:tr>
        <w:tc>
          <w:tcPr>
            <w:tcW w:type="dxa" w:w="1300"/>
            <w:shd w:fill="F1F5F9" w:color="auto" w:val="clear"/>
            <w:tcMar>
              <w:top w:type="dxa" w:w="70"/>
              <w:left w:type="dxa" w:w="120"/>
              <w:bottom w:type="dxa" w:w="70"/>
              <w:right w:type="dxa" w:w="120"/>
            </w:tcMar>
            <w:vAlign w:val="center"/>
          </w:tcPr>
          <w:p>
            <w:pPr>
              <w:spacing w:after="0" w:line="264"/>
            </w:pPr>
            <w:r>
              <w:t xml:space="preserve">RAI-06</w:t>
            </w:r>
          </w:p>
        </w:tc>
        <w:tc>
          <w:tcPr>
            <w:tcW w:type="dxa" w:w="6860"/>
            <w:shd w:fill="F1F5F9" w:color="auto" w:val="clear"/>
            <w:tcMar>
              <w:top w:type="dxa" w:w="70"/>
              <w:left w:type="dxa" w:w="120"/>
              <w:bottom w:type="dxa" w:w="70"/>
              <w:right w:type="dxa" w:w="120"/>
            </w:tcMar>
            <w:vAlign w:val="center"/>
          </w:tcPr>
          <w:p>
            <w:pPr>
              <w:spacing w:after="0" w:line="264"/>
            </w:pPr>
            <w:r>
              <w:t xml:space="preserve">Accountability and human oversight</w:t>
            </w:r>
          </w:p>
        </w:tc>
        <w:tc>
          <w:tcPr>
            <w:tcW w:type="dxa" w:w="1200"/>
            <w:shd w:fill="F1F5F9" w:color="auto" w:val="clear"/>
            <w:tcMar>
              <w:top w:type="dxa" w:w="70"/>
              <w:left w:type="dxa" w:w="120"/>
              <w:bottom w:type="dxa" w:w="70"/>
              <w:right w:type="dxa" w:w="120"/>
            </w:tcMar>
            <w:vAlign w:val="center"/>
          </w:tcPr>
          <w:p>
            <w:pPr>
              <w:spacing w:after="0" w:line="264"/>
            </w:pPr>
            <w:r>
              <w:t xml:space="preserve">14</w:t>
            </w:r>
          </w:p>
        </w:tc>
      </w:tr>
    </w:tbl>
    <w:p>
      <w:pPr>
        <w:spacing w:after="120" w:before="0" w:line="276"/>
      </w:pPr>
      <w:r>
        <w:t xml:space="preserve">RAI-01, RAI-02, and RAI-03 are </w:t>
      </w:r>
      <w:r>
        <w:rPr>
          <w:b/>
          <w:bCs/>
        </w:rPr>
        <w:t xml:space="preserve">critical pillars</w:t>
      </w:r>
      <w:r>
        <w:t xml:space="preserve"> that must be tested (not merely declared) for HIGH confidence. Posture is kept deliberately separate from any runtime authorization decision, consistent with the AgentShield separation principle. Version tag: RAI-2026.08.</w:t>
      </w:r>
    </w:p>
    <w:p>
      <w:pPr>
        <w:pStyle w:val="Heading2"/>
        <w:spacing w:after="120" w:before="240"/>
      </w:pPr>
      <w:r>
        <w:t xml:space="preserve">6.3 Token optimization layer</w:t>
      </w:r>
    </w:p>
    <w:p>
      <w:pPr>
        <w:spacing w:after="120" w:before="0" w:line="276"/>
      </w:pPr>
      <w:r>
        <w:t xml:space="preserve">A measured efficiency layer (evals/) demonstrates that AgentShield can run governance at materially lower context-token and compute cost — without ever touching a decision. The evaluation composes context-scoping, retrieval trimming, caching, and model routing over a fixed set of baseline tasks, and asserts that every decision remains byte-for-byte equal to the recorded baseline.</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3960"/>
        <w:gridCol w:w="1800"/>
        <w:gridCol w:w="1800"/>
        <w:gridCol w:w="1800"/>
      </w:tblGrid>
      <w:tr>
        <w:trPr>
          <w:tblHeader/>
        </w:trPr>
        <w:tc>
          <w:tcPr>
            <w:tcW w:type="dxa" w:w="3960"/>
            <w:shd w:fill="0B1F3A" w:color="auto" w:val="clear"/>
            <w:tcMar>
              <w:top w:type="dxa" w:w="70"/>
              <w:left w:type="dxa" w:w="120"/>
              <w:bottom w:type="dxa" w:w="70"/>
              <w:right w:type="dxa" w:w="120"/>
            </w:tcMar>
            <w:vAlign w:val="center"/>
          </w:tcPr>
          <w:p>
            <w:pPr>
              <w:spacing w:after="0" w:line="264"/>
            </w:pPr>
            <w:r>
              <w:rPr>
                <w:b/>
                <w:bCs/>
                <w:color w:val="FFFFFF"/>
              </w:rPr>
              <w:t xml:space="preserve">Metric</w:t>
            </w:r>
          </w:p>
        </w:tc>
        <w:tc>
          <w:tcPr>
            <w:tcW w:type="dxa" w:w="1800"/>
            <w:shd w:fill="0B1F3A" w:color="auto" w:val="clear"/>
            <w:tcMar>
              <w:top w:type="dxa" w:w="70"/>
              <w:left w:type="dxa" w:w="120"/>
              <w:bottom w:type="dxa" w:w="70"/>
              <w:right w:type="dxa" w:w="120"/>
            </w:tcMar>
            <w:vAlign w:val="center"/>
          </w:tcPr>
          <w:p>
            <w:pPr>
              <w:spacing w:after="0" w:line="264"/>
            </w:pPr>
            <w:r>
              <w:rPr>
                <w:b/>
                <w:bCs/>
                <w:color w:val="FFFFFF"/>
              </w:rPr>
              <w:t xml:space="preserve">Baseline</w:t>
            </w:r>
          </w:p>
        </w:tc>
        <w:tc>
          <w:tcPr>
            <w:tcW w:type="dxa" w:w="1800"/>
            <w:shd w:fill="0B1F3A" w:color="auto" w:val="clear"/>
            <w:tcMar>
              <w:top w:type="dxa" w:w="70"/>
              <w:left w:type="dxa" w:w="120"/>
              <w:bottom w:type="dxa" w:w="70"/>
              <w:right w:type="dxa" w:w="120"/>
            </w:tcMar>
            <w:vAlign w:val="center"/>
          </w:tcPr>
          <w:p>
            <w:pPr>
              <w:spacing w:after="0" w:line="264"/>
            </w:pPr>
            <w:r>
              <w:rPr>
                <w:b/>
                <w:bCs/>
                <w:color w:val="FFFFFF"/>
              </w:rPr>
              <w:t xml:space="preserve">Optimized</w:t>
            </w:r>
          </w:p>
        </w:tc>
        <w:tc>
          <w:tcPr>
            <w:tcW w:type="dxa" w:w="1800"/>
            <w:shd w:fill="0B1F3A" w:color="auto" w:val="clear"/>
            <w:tcMar>
              <w:top w:type="dxa" w:w="70"/>
              <w:left w:type="dxa" w:w="120"/>
              <w:bottom w:type="dxa" w:w="70"/>
              <w:right w:type="dxa" w:w="120"/>
            </w:tcMar>
            <w:vAlign w:val="center"/>
          </w:tcPr>
          <w:p>
            <w:pPr>
              <w:spacing w:after="0" w:line="264"/>
            </w:pPr>
            <w:r>
              <w:rPr>
                <w:b/>
                <w:bCs/>
                <w:color w:val="FFFFFF"/>
              </w:rPr>
              <w:t xml:space="preserve">Improvement</w:t>
            </w:r>
          </w:p>
        </w:tc>
      </w:tr>
      <w:tr>
        <w:tc>
          <w:tcPr>
            <w:tcW w:type="dxa" w:w="3960"/>
            <w:tcMar>
              <w:top w:type="dxa" w:w="70"/>
              <w:left w:type="dxa" w:w="120"/>
              <w:bottom w:type="dxa" w:w="70"/>
              <w:right w:type="dxa" w:w="120"/>
            </w:tcMar>
            <w:vAlign w:val="center"/>
          </w:tcPr>
          <w:p>
            <w:pPr>
              <w:spacing w:after="0" w:line="264"/>
            </w:pPr>
            <w:r>
              <w:t xml:space="preserve">Context tokens (chars/4 approx.)</w:t>
            </w:r>
          </w:p>
        </w:tc>
        <w:tc>
          <w:tcPr>
            <w:tcW w:type="dxa" w:w="1800"/>
            <w:tcMar>
              <w:top w:type="dxa" w:w="70"/>
              <w:left w:type="dxa" w:w="120"/>
              <w:bottom w:type="dxa" w:w="70"/>
              <w:right w:type="dxa" w:w="120"/>
            </w:tcMar>
            <w:vAlign w:val="center"/>
          </w:tcPr>
          <w:p>
            <w:pPr>
              <w:spacing w:after="0" w:line="264"/>
            </w:pPr>
            <w:r>
              <w:t xml:space="preserve">244,476</w:t>
            </w:r>
          </w:p>
        </w:tc>
        <w:tc>
          <w:tcPr>
            <w:tcW w:type="dxa" w:w="1800"/>
            <w:tcMar>
              <w:top w:type="dxa" w:w="70"/>
              <w:left w:type="dxa" w:w="120"/>
              <w:bottom w:type="dxa" w:w="70"/>
              <w:right w:type="dxa" w:w="120"/>
            </w:tcMar>
            <w:vAlign w:val="center"/>
          </w:tcPr>
          <w:p>
            <w:pPr>
              <w:spacing w:after="0" w:line="264"/>
            </w:pPr>
            <w:r>
              <w:t xml:space="preserve">162,833</w:t>
            </w:r>
          </w:p>
        </w:tc>
        <w:tc>
          <w:tcPr>
            <w:tcW w:type="dxa" w:w="1800"/>
            <w:tcMar>
              <w:top w:type="dxa" w:w="70"/>
              <w:left w:type="dxa" w:w="120"/>
              <w:bottom w:type="dxa" w:w="70"/>
              <w:right w:type="dxa" w:w="120"/>
            </w:tcMar>
            <w:vAlign w:val="center"/>
          </w:tcPr>
          <w:p>
            <w:pPr>
              <w:spacing w:after="0" w:line="264"/>
            </w:pPr>
            <w:r>
              <w:t xml:space="preserve">− up to 33%</w:t>
            </w:r>
          </w:p>
        </w:tc>
      </w:tr>
      <w:tr>
        <w:tc>
          <w:tcPr>
            <w:tcW w:type="dxa" w:w="3960"/>
            <w:shd w:fill="F1F5F9" w:color="auto" w:val="clear"/>
            <w:tcMar>
              <w:top w:type="dxa" w:w="70"/>
              <w:left w:type="dxa" w:w="120"/>
              <w:bottom w:type="dxa" w:w="70"/>
              <w:right w:type="dxa" w:w="120"/>
            </w:tcMar>
            <w:vAlign w:val="center"/>
          </w:tcPr>
          <w:p>
            <w:pPr>
              <w:spacing w:after="0" w:line="264"/>
            </w:pPr>
            <w:r>
              <w:t xml:space="preserve">Relative compute cost (units)</w:t>
            </w:r>
          </w:p>
        </w:tc>
        <w:tc>
          <w:tcPr>
            <w:tcW w:type="dxa" w:w="1800"/>
            <w:shd w:fill="F1F5F9" w:color="auto" w:val="clear"/>
            <w:tcMar>
              <w:top w:type="dxa" w:w="70"/>
              <w:left w:type="dxa" w:w="120"/>
              <w:bottom w:type="dxa" w:w="70"/>
              <w:right w:type="dxa" w:w="120"/>
            </w:tcMar>
            <w:vAlign w:val="center"/>
          </w:tcPr>
          <w:p>
            <w:pPr>
              <w:spacing w:after="0" w:line="264"/>
            </w:pPr>
            <w:r>
              <w:t xml:space="preserve">196.0</w:t>
            </w:r>
          </w:p>
        </w:tc>
        <w:tc>
          <w:tcPr>
            <w:tcW w:type="dxa" w:w="1800"/>
            <w:shd w:fill="F1F5F9" w:color="auto" w:val="clear"/>
            <w:tcMar>
              <w:top w:type="dxa" w:w="70"/>
              <w:left w:type="dxa" w:w="120"/>
              <w:bottom w:type="dxa" w:w="70"/>
              <w:right w:type="dxa" w:w="120"/>
            </w:tcMar>
            <w:vAlign w:val="center"/>
          </w:tcPr>
          <w:p>
            <w:pPr>
              <w:spacing w:after="0" w:line="264"/>
            </w:pPr>
            <w:r>
              <w:t xml:space="preserve">91.0</w:t>
            </w:r>
          </w:p>
        </w:tc>
        <w:tc>
          <w:tcPr>
            <w:tcW w:type="dxa" w:w="1800"/>
            <w:shd w:fill="F1F5F9" w:color="auto" w:val="clear"/>
            <w:tcMar>
              <w:top w:type="dxa" w:w="70"/>
              <w:left w:type="dxa" w:w="120"/>
              <w:bottom w:type="dxa" w:w="70"/>
              <w:right w:type="dxa" w:w="120"/>
            </w:tcMar>
            <w:vAlign w:val="center"/>
          </w:tcPr>
          <w:p>
            <w:pPr>
              <w:spacing w:after="0" w:line="264"/>
            </w:pPr>
            <w:r>
              <w:t xml:space="preserve">− 53.6%</w:t>
            </w:r>
          </w:p>
        </w:tc>
      </w:tr>
      <w:tr>
        <w:tc>
          <w:tcPr>
            <w:tcW w:type="dxa" w:w="3960"/>
            <w:tcMar>
              <w:top w:type="dxa" w:w="70"/>
              <w:left w:type="dxa" w:w="120"/>
              <w:bottom w:type="dxa" w:w="70"/>
              <w:right w:type="dxa" w:w="120"/>
            </w:tcMar>
            <w:vAlign w:val="center"/>
          </w:tcPr>
          <w:p>
            <w:pPr>
              <w:spacing w:after="0" w:line="264"/>
            </w:pPr>
            <w:r>
              <w:t xml:space="preserve">Cache hit rate</w:t>
            </w:r>
          </w:p>
        </w:tc>
        <w:tc>
          <w:tcPr>
            <w:tcW w:type="dxa" w:w="1800"/>
            <w:tcMar>
              <w:top w:type="dxa" w:w="70"/>
              <w:left w:type="dxa" w:w="120"/>
              <w:bottom w:type="dxa" w:w="70"/>
              <w:right w:type="dxa" w:w="120"/>
            </w:tcMar>
            <w:vAlign w:val="center"/>
          </w:tcPr>
          <w:p>
            <w:pPr>
              <w:spacing w:after="0" w:line="264"/>
            </w:pPr>
            <w:r>
              <w:t xml:space="preserve">—</w:t>
            </w:r>
          </w:p>
        </w:tc>
        <w:tc>
          <w:tcPr>
            <w:tcW w:type="dxa" w:w="1800"/>
            <w:tcMar>
              <w:top w:type="dxa" w:w="70"/>
              <w:left w:type="dxa" w:w="120"/>
              <w:bottom w:type="dxa" w:w="70"/>
              <w:right w:type="dxa" w:w="120"/>
            </w:tcMar>
            <w:vAlign w:val="center"/>
          </w:tcPr>
          <w:p>
            <w:pPr>
              <w:spacing w:after="0" w:line="264"/>
            </w:pPr>
            <w:r>
              <w:t xml:space="preserve">0.80</w:t>
            </w:r>
          </w:p>
        </w:tc>
        <w:tc>
          <w:tcPr>
            <w:tcW w:type="dxa" w:w="1800"/>
            <w:tcMar>
              <w:top w:type="dxa" w:w="70"/>
              <w:left w:type="dxa" w:w="120"/>
              <w:bottom w:type="dxa" w:w="70"/>
              <w:right w:type="dxa" w:w="120"/>
            </w:tcMar>
            <w:vAlign w:val="center"/>
          </w:tcPr>
          <w:p>
            <w:pPr>
              <w:spacing w:after="0" w:line="264"/>
            </w:pPr>
            <w:r>
              <w:t xml:space="preserve">—</w:t>
            </w:r>
          </w:p>
        </w:tc>
      </w:tr>
      <w:tr>
        <w:tc>
          <w:tcPr>
            <w:tcW w:type="dxa" w:w="3960"/>
            <w:shd w:fill="F1F5F9" w:color="auto" w:val="clear"/>
            <w:tcMar>
              <w:top w:type="dxa" w:w="70"/>
              <w:left w:type="dxa" w:w="120"/>
              <w:bottom w:type="dxa" w:w="70"/>
              <w:right w:type="dxa" w:w="120"/>
            </w:tcMar>
            <w:vAlign w:val="center"/>
          </w:tcPr>
          <w:p>
            <w:pPr>
              <w:spacing w:after="0" w:line="264"/>
            </w:pPr>
            <w:r>
              <w:t xml:space="preserve">Decisions changed by the layer</w:t>
            </w:r>
          </w:p>
        </w:tc>
        <w:tc>
          <w:tcPr>
            <w:tcW w:type="dxa" w:w="1800"/>
            <w:shd w:fill="F1F5F9" w:color="auto" w:val="clear"/>
            <w:tcMar>
              <w:top w:type="dxa" w:w="70"/>
              <w:left w:type="dxa" w:w="120"/>
              <w:bottom w:type="dxa" w:w="70"/>
              <w:right w:type="dxa" w:w="120"/>
            </w:tcMar>
            <w:vAlign w:val="center"/>
          </w:tcPr>
          <w:p>
            <w:pPr>
              <w:spacing w:after="0" w:line="264"/>
            </w:pPr>
            <w:r>
              <w:t xml:space="preserve">0</w:t>
            </w:r>
          </w:p>
        </w:tc>
        <w:tc>
          <w:tcPr>
            <w:tcW w:type="dxa" w:w="1800"/>
            <w:shd w:fill="F1F5F9" w:color="auto" w:val="clear"/>
            <w:tcMar>
              <w:top w:type="dxa" w:w="70"/>
              <w:left w:type="dxa" w:w="120"/>
              <w:bottom w:type="dxa" w:w="70"/>
              <w:right w:type="dxa" w:w="120"/>
            </w:tcMar>
            <w:vAlign w:val="center"/>
          </w:tcPr>
          <w:p>
            <w:pPr>
              <w:spacing w:after="0" w:line="264"/>
            </w:pPr>
            <w:r>
              <w:t xml:space="preserve">0</w:t>
            </w:r>
          </w:p>
        </w:tc>
        <w:tc>
          <w:tcPr>
            <w:tcW w:type="dxa" w:w="1800"/>
            <w:shd w:fill="F1F5F9" w:color="auto" w:val="clear"/>
            <w:tcMar>
              <w:top w:type="dxa" w:w="70"/>
              <w:left w:type="dxa" w:w="120"/>
              <w:bottom w:type="dxa" w:w="70"/>
              <w:right w:type="dxa" w:w="120"/>
            </w:tcMar>
            <w:vAlign w:val="center"/>
          </w:tcPr>
          <w:p>
            <w:pPr>
              <w:spacing w:after="0" w:line="264"/>
            </w:pPr>
            <w:r>
              <w:t xml:space="preserve">0 (invariant)</w:t>
            </w:r>
          </w:p>
        </w:tc>
      </w:tr>
    </w:tbl>
    <w:tbl>
      <w:tblPr>
        <w:tblW w:type="dxa" w:w="9360"/>
        <w:tblBorders>
          <w:top w:val="single" w:color="E7F4F5" w:sz="2"/>
          <w:left w:val="single" w:color="0E7C86" w:sz="24"/>
          <w:bottom w:val="single" w:color="E7F4F5" w:sz="2"/>
          <w:right w:val="single" w:color="E7F4F5" w:sz="2"/>
          <w:insideH w:val="single" w:color="auto" w:sz="4"/>
          <w:insideV w:val="single" w:color="auto" w:sz="4"/>
        </w:tblBorders>
      </w:tblPr>
      <w:tblGrid>
        <w:gridCol w:w="9360"/>
      </w:tblGrid>
      <w:tr>
        <w:tc>
          <w:tcPr>
            <w:tcW w:type="dxa" w:w="9360"/>
            <w:shd w:fill="E7F4F5" w:color="auto" w:val="clear"/>
            <w:tcMar>
              <w:top w:type="dxa" w:w="120"/>
              <w:left w:type="dxa" w:w="180"/>
              <w:bottom w:type="dxa" w:w="120"/>
              <w:right w:type="dxa" w:w="160"/>
            </w:tcMar>
          </w:tcPr>
          <w:p>
            <w:pPr>
              <w:spacing w:after="60"/>
            </w:pPr>
            <w:r>
              <w:rPr>
                <w:b/>
                <w:bCs/>
                <w:color w:val="0E7C86"/>
              </w:rPr>
              <w:t xml:space="preserve">Hard invariant</w:t>
            </w:r>
          </w:p>
          <w:p>
            <w:pPr>
              <w:spacing w:after="40" w:line="272"/>
            </w:pPr>
            <w:r>
              <w:t xml:space="preserve">Token figures are the disclosed chars/4 approximation and cost units are a labelled relative model (premium = 4× economy), NOT real prices. The optimization layer cannot alter policy or authorization: decisions come from the unmodified engine and are asserted equal to the baseline.</w:t>
            </w:r>
          </w:p>
        </w:tc>
      </w:tr>
    </w:tbl>
    <w:p>
      <w:pPr>
        <w:pStyle w:val="Heading2"/>
        <w:spacing w:after="120" w:before="240"/>
      </w:pPr>
      <w:r>
        <w:t xml:space="preserve">6.4 Evidence provenance &amp; confidence weighting</w:t>
      </w:r>
    </w:p>
    <w:p>
      <w:pPr>
        <w:spacing w:after="120" w:before="0" w:line="276"/>
      </w:pPr>
      <w:r>
        <w:t xml:space="preserve">Every finding in a report is traceable to where it came from and how much it should be trusted. A deterministic provenance summary is built before any LLM enrichment and rendered as an “Evidence provenance &amp; confidence weighting” table. This guarantees that optional model narrative can fill in explanation but can never silently override, strip, or fabricate deterministic evidence — model-supplied fields are validated, clamped to known enums, escaped, and redacted through the same pipeline as every other value.</w:t>
      </w:r>
    </w:p>
    <w:p>
      <w:pPr>
        <w:pStyle w:val="ListParagraph"/>
        <w:numPr>
          <w:ilvl w:val="0"/>
          <w:numId w:val="2"/>
        </w:numPr>
        <w:spacing w:after="80" w:line="276"/>
      </w:pPr>
      <w:r>
        <w:rPr>
          <w:b/>
          <w:bCs/>
        </w:rPr>
        <w:t xml:space="preserve">Source — </w:t>
      </w:r>
      <w:r>
        <w:t xml:space="preserve">Whether a finding came from the deterministic engine, static red-team inference, or model enrichment.</w:t>
      </w:r>
    </w:p>
    <w:p>
      <w:pPr>
        <w:pStyle w:val="ListParagraph"/>
        <w:numPr>
          <w:ilvl w:val="0"/>
          <w:numId w:val="2"/>
        </w:numPr>
        <w:spacing w:after="80" w:line="276"/>
      </w:pPr>
      <w:r>
        <w:rPr>
          <w:b/>
          <w:bCs/>
        </w:rPr>
        <w:t xml:space="preserve">Confidence — </w:t>
      </w:r>
      <w:r>
        <w:t xml:space="preserve">A weighting (e.g., HIGH / MEDIUM / LOW) that down-ranks unproven or simulated signals.</w:t>
      </w:r>
    </w:p>
    <w:p>
      <w:pPr>
        <w:pStyle w:val="ListParagraph"/>
        <w:numPr>
          <w:ilvl w:val="0"/>
          <w:numId w:val="2"/>
        </w:numPr>
        <w:spacing w:after="80" w:line="276"/>
      </w:pPr>
      <w:r>
        <w:rPr>
          <w:b/>
          <w:bCs/>
        </w:rPr>
        <w:t xml:space="preserve">Effective severity — </w:t>
      </w:r>
      <w:r>
        <w:t xml:space="preserve">Severity combined with confidence, so prioritisation reflects both how bad and how certain a finding is.</w:t>
      </w:r>
    </w:p>
    <w:p>
      <w:pPr>
        <w:pStyle w:val="Heading2"/>
        <w:spacing w:after="120" w:before="240"/>
      </w:pPr>
      <w:r>
        <w:t xml:space="preserve">6.5 Compliance framework mapping (advisory, versioned)</w:t>
      </w:r>
    </w:p>
    <w:p>
      <w:pPr>
        <w:spacing w:after="120" w:before="0" w:line="276"/>
      </w:pPr>
      <w:r>
        <w:t xml:space="preserve">agentshield/compliance.py provides a static, versioned table mapping each assurance control family (ASF-01..10) to widely published control frameworks, and derives an honest, evidence-based coverage status from an existing assurance result. Absent evidence is reported as “Unevidenced” — never inferred away.</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5860"/>
        <w:gridCol w:w="3500"/>
      </w:tblGrid>
      <w:tr>
        <w:trPr>
          <w:tblHeader/>
        </w:trPr>
        <w:tc>
          <w:tcPr>
            <w:tcW w:type="dxa" w:w="5860"/>
            <w:shd w:fill="0B1F3A" w:color="auto" w:val="clear"/>
            <w:tcMar>
              <w:top w:type="dxa" w:w="70"/>
              <w:left w:type="dxa" w:w="120"/>
              <w:bottom w:type="dxa" w:w="70"/>
              <w:right w:type="dxa" w:w="120"/>
            </w:tcMar>
            <w:vAlign w:val="center"/>
          </w:tcPr>
          <w:p>
            <w:pPr>
              <w:spacing w:after="0" w:line="264"/>
            </w:pPr>
            <w:r>
              <w:rPr>
                <w:b/>
                <w:bCs/>
                <w:color w:val="FFFFFF"/>
              </w:rPr>
              <w:t xml:space="preserve">Framework</w:t>
            </w:r>
          </w:p>
        </w:tc>
        <w:tc>
          <w:tcPr>
            <w:tcW w:type="dxa" w:w="3500"/>
            <w:shd w:fill="0B1F3A" w:color="auto" w:val="clear"/>
            <w:tcMar>
              <w:top w:type="dxa" w:w="70"/>
              <w:left w:type="dxa" w:w="120"/>
              <w:bottom w:type="dxa" w:w="70"/>
              <w:right w:type="dxa" w:w="120"/>
            </w:tcMar>
            <w:vAlign w:val="center"/>
          </w:tcPr>
          <w:p>
            <w:pPr>
              <w:spacing w:after="0" w:line="264"/>
            </w:pPr>
            <w:r>
              <w:rPr>
                <w:b/>
                <w:bCs/>
                <w:color w:val="FFFFFF"/>
              </w:rPr>
              <w:t xml:space="preserve">Version referenced</w:t>
            </w:r>
          </w:p>
        </w:tc>
      </w:tr>
      <w:tr>
        <w:tc>
          <w:tcPr>
            <w:tcW w:type="dxa" w:w="5860"/>
            <w:tcMar>
              <w:top w:type="dxa" w:w="70"/>
              <w:left w:type="dxa" w:w="120"/>
              <w:bottom w:type="dxa" w:w="70"/>
              <w:right w:type="dxa" w:w="120"/>
            </w:tcMar>
            <w:vAlign w:val="center"/>
          </w:tcPr>
          <w:p>
            <w:pPr>
              <w:spacing w:after="0" w:line="264"/>
            </w:pPr>
            <w:r>
              <w:t xml:space="preserve">OWASP Top 10 for LLM Applications</w:t>
            </w:r>
          </w:p>
        </w:tc>
        <w:tc>
          <w:tcPr>
            <w:tcW w:type="dxa" w:w="3500"/>
            <w:tcMar>
              <w:top w:type="dxa" w:w="70"/>
              <w:left w:type="dxa" w:w="120"/>
              <w:bottom w:type="dxa" w:w="70"/>
              <w:right w:type="dxa" w:w="120"/>
            </w:tcMar>
            <w:vAlign w:val="center"/>
          </w:tcPr>
          <w:p>
            <w:pPr>
              <w:spacing w:after="0" w:line="264"/>
            </w:pPr>
            <w:r>
              <w:t xml:space="preserve">2025</w:t>
            </w:r>
          </w:p>
        </w:tc>
      </w:tr>
      <w:tr>
        <w:tc>
          <w:tcPr>
            <w:tcW w:type="dxa" w:w="5860"/>
            <w:shd w:fill="F1F5F9" w:color="auto" w:val="clear"/>
            <w:tcMar>
              <w:top w:type="dxa" w:w="70"/>
              <w:left w:type="dxa" w:w="120"/>
              <w:bottom w:type="dxa" w:w="70"/>
              <w:right w:type="dxa" w:w="120"/>
            </w:tcMar>
            <w:vAlign w:val="center"/>
          </w:tcPr>
          <w:p>
            <w:pPr>
              <w:spacing w:after="0" w:line="264"/>
            </w:pPr>
            <w:r>
              <w:t xml:space="preserve">NIST AI Risk Management Framework</w:t>
            </w:r>
          </w:p>
        </w:tc>
        <w:tc>
          <w:tcPr>
            <w:tcW w:type="dxa" w:w="3500"/>
            <w:shd w:fill="F1F5F9" w:color="auto" w:val="clear"/>
            <w:tcMar>
              <w:top w:type="dxa" w:w="70"/>
              <w:left w:type="dxa" w:w="120"/>
              <w:bottom w:type="dxa" w:w="70"/>
              <w:right w:type="dxa" w:w="120"/>
            </w:tcMar>
            <w:vAlign w:val="center"/>
          </w:tcPr>
          <w:p>
            <w:pPr>
              <w:spacing w:after="0" w:line="264"/>
            </w:pPr>
            <w:r>
              <w:t xml:space="preserve">1.0</w:t>
            </w:r>
          </w:p>
        </w:tc>
      </w:tr>
      <w:tr>
        <w:tc>
          <w:tcPr>
            <w:tcW w:type="dxa" w:w="5860"/>
            <w:tcMar>
              <w:top w:type="dxa" w:w="70"/>
              <w:left w:type="dxa" w:w="120"/>
              <w:bottom w:type="dxa" w:w="70"/>
              <w:right w:type="dxa" w:w="120"/>
            </w:tcMar>
            <w:vAlign w:val="center"/>
          </w:tcPr>
          <w:p>
            <w:pPr>
              <w:spacing w:after="0" w:line="264"/>
            </w:pPr>
            <w:r>
              <w:t xml:space="preserve">EU AI Act (high-risk obligations)</w:t>
            </w:r>
          </w:p>
        </w:tc>
        <w:tc>
          <w:tcPr>
            <w:tcW w:type="dxa" w:w="3500"/>
            <w:tcMar>
              <w:top w:type="dxa" w:w="70"/>
              <w:left w:type="dxa" w:w="120"/>
              <w:bottom w:type="dxa" w:w="70"/>
              <w:right w:type="dxa" w:w="120"/>
            </w:tcMar>
            <w:vAlign w:val="center"/>
          </w:tcPr>
          <w:p>
            <w:pPr>
              <w:spacing w:after="0" w:line="264"/>
            </w:pPr>
            <w:r>
              <w:t xml:space="preserve">Regulation (EU) 2024/1689</w:t>
            </w:r>
          </w:p>
        </w:tc>
      </w:tr>
    </w:tbl>
    <w:tbl>
      <w:tblPr>
        <w:tblW w:type="dxa" w:w="9360"/>
        <w:tblBorders>
          <w:top w:val="single" w:color="FBF3E0" w:sz="2"/>
          <w:left w:val="single" w:color="9A6B00" w:sz="24"/>
          <w:bottom w:val="single" w:color="FBF3E0" w:sz="2"/>
          <w:right w:val="single" w:color="FBF3E0" w:sz="2"/>
          <w:insideH w:val="single" w:color="auto" w:sz="4"/>
          <w:insideV w:val="single" w:color="auto" w:sz="4"/>
        </w:tblBorders>
      </w:tblPr>
      <w:tblGrid>
        <w:gridCol w:w="9360"/>
      </w:tblGrid>
      <w:tr>
        <w:tc>
          <w:tcPr>
            <w:tcW w:type="dxa" w:w="9360"/>
            <w:shd w:fill="FBF3E0" w:color="auto" w:val="clear"/>
            <w:tcMar>
              <w:top w:type="dxa" w:w="120"/>
              <w:left w:type="dxa" w:w="180"/>
              <w:bottom w:type="dxa" w:w="120"/>
              <w:right w:type="dxa" w:w="160"/>
            </w:tcMar>
          </w:tcPr>
          <w:p>
            <w:pPr>
              <w:spacing w:after="60"/>
            </w:pPr>
            <w:r>
              <w:rPr>
                <w:b/>
                <w:bCs/>
                <w:color w:val="9A6B00"/>
              </w:rPr>
              <w:t xml:space="preserve">Not a certification</w:t>
            </w:r>
          </w:p>
          <w:p>
            <w:pPr>
              <w:spacing w:after="40" w:line="272"/>
            </w:pPr>
            <w:r>
              <w:t xml:space="preserve">The strongest status is “Evidenced” (a mapped control family was tested) — which is still not a claim that any framework requirement is satisfied. The mapping never authorizes anything, is kept separate from runtime policy, and is versioned (agentshield-compliance-map-1.0.0).</w:t>
            </w:r>
          </w:p>
        </w:tc>
      </w:tr>
    </w:tbl>
    <w:p>
      <w:r>
        <w:br w:type="page"/>
      </w:r>
    </w:p>
    <w:p>
      <w:pPr>
        <w:pStyle w:val="Heading1"/>
        <w:spacing w:after="160" w:before="320"/>
      </w:pPr>
      <w:r>
        <w:t xml:space="preserve">7. The Website &amp; Evidence Report</w:t>
      </w:r>
    </w:p>
    <w:p>
      <w:pPr>
        <w:spacing w:after="120" w:before="0" w:line="276"/>
      </w:pPr>
      <w:r>
        <w:t xml:space="preserve">The public surface is a Next.js website on Azure Container Apps: a user uploads an agent definition (.md / .markdown / .txt) and receives a self-contained HTML evidence report. The report route shells out to the same Python pipeline that powers the CLI, so web and CLI outputs are identical.</w:t>
      </w:r>
    </w:p>
    <w:p>
      <w:pPr>
        <w:pStyle w:val="Heading3"/>
        <w:spacing w:after="80" w:before="180"/>
      </w:pPr>
      <w:r>
        <w:t xml:space="preserve">Report &amp; dashboard features</w:t>
      </w:r>
    </w:p>
    <w:p>
      <w:pPr>
        <w:pStyle w:val="ListParagraph"/>
        <w:numPr>
          <w:ilvl w:val="0"/>
          <w:numId w:val="2"/>
        </w:numPr>
        <w:spacing w:after="80" w:line="276"/>
      </w:pPr>
      <w:r>
        <w:rPr>
          <w:b/>
          <w:bCs/>
        </w:rPr>
        <w:t xml:space="preserve">Hero verdict band — </w:t>
      </w:r>
      <w:r>
        <w:t xml:space="preserve">An at-a-glance assurance posture and governance decision at the top of the report.</w:t>
      </w:r>
    </w:p>
    <w:p>
      <w:pPr>
        <w:pStyle w:val="ListParagraph"/>
        <w:numPr>
          <w:ilvl w:val="0"/>
          <w:numId w:val="2"/>
        </w:numPr>
        <w:spacing w:after="80" w:line="276"/>
      </w:pPr>
      <w:r>
        <w:rPr>
          <w:b/>
          <w:bCs/>
        </w:rPr>
        <w:t xml:space="preserve">Attack-Family Defense Coverage heatmap — </w:t>
      </w:r>
      <w:r>
        <w:t xml:space="preserve">Per-family defended percentage derived from the nine red-team families.</w:t>
      </w:r>
    </w:p>
    <w:p>
      <w:pPr>
        <w:pStyle w:val="ListParagraph"/>
        <w:numPr>
          <w:ilvl w:val="0"/>
          <w:numId w:val="2"/>
        </w:numPr>
        <w:spacing w:after="80" w:line="276"/>
      </w:pPr>
      <w:r>
        <w:rPr>
          <w:b/>
          <w:bCs/>
        </w:rPr>
        <w:t xml:space="preserve">Severity stacked bar — </w:t>
      </w:r>
      <w:r>
        <w:t xml:space="preserve">Distribution of findings by severity.</w:t>
      </w:r>
    </w:p>
    <w:p>
      <w:pPr>
        <w:pStyle w:val="ListParagraph"/>
        <w:numPr>
          <w:ilvl w:val="0"/>
          <w:numId w:val="2"/>
        </w:numPr>
        <w:spacing w:after="80" w:line="276"/>
      </w:pPr>
      <w:r>
        <w:rPr>
          <w:b/>
          <w:bCs/>
        </w:rPr>
        <w:t xml:space="preserve">Compliance mapping KPI + section — </w:t>
      </w:r>
      <w:r>
        <w:t xml:space="preserve">Advisory framework coverage with an explicit “not certification” caveat.</w:t>
      </w:r>
    </w:p>
    <w:p>
      <w:pPr>
        <w:pStyle w:val="ListParagraph"/>
        <w:numPr>
          <w:ilvl w:val="0"/>
          <w:numId w:val="2"/>
        </w:numPr>
        <w:spacing w:after="80" w:line="276"/>
      </w:pPr>
      <w:r>
        <w:rPr>
          <w:b/>
          <w:bCs/>
        </w:rPr>
        <w:t xml:space="preserve">Evidence provenance table — </w:t>
      </w:r>
      <w:r>
        <w:t xml:space="preserve">Source and confidence weighting for each finding.</w:t>
      </w:r>
    </w:p>
    <w:p>
      <w:pPr>
        <w:pStyle w:val="ListParagraph"/>
        <w:numPr>
          <w:ilvl w:val="0"/>
          <w:numId w:val="2"/>
        </w:numPr>
        <w:spacing w:after="80" w:line="276"/>
      </w:pPr>
      <w:r>
        <w:rPr>
          <w:b/>
          <w:bCs/>
        </w:rPr>
        <w:t xml:space="preserve">“Fix These First” prioritised remediation — </w:t>
      </w:r>
      <w:r>
        <w:t xml:space="preserve">Findings ranked by effective severity × confidence, each with a concrete remediation suggestion.</w:t>
      </w:r>
    </w:p>
    <w:p>
      <w:pPr>
        <w:pStyle w:val="ListParagraph"/>
        <w:numPr>
          <w:ilvl w:val="0"/>
          <w:numId w:val="2"/>
        </w:numPr>
        <w:spacing w:after="80" w:line="276"/>
      </w:pPr>
      <w:r>
        <w:rPr>
          <w:b/>
          <w:bCs/>
        </w:rPr>
        <w:t xml:space="preserve">Light / dark theme toggle — </w:t>
      </w:r>
      <w:r>
        <w:t xml:space="preserve">A pure-CSS toggle (no scripts), respecting the self-contained report rule.</w:t>
      </w:r>
    </w:p>
    <w:p>
      <w:pPr>
        <w:pStyle w:val="ListParagraph"/>
        <w:numPr>
          <w:ilvl w:val="0"/>
          <w:numId w:val="2"/>
        </w:numPr>
        <w:spacing w:after="80" w:line="276"/>
      </w:pPr>
      <w:r>
        <w:rPr>
          <w:b/>
          <w:bCs/>
        </w:rPr>
        <w:t xml:space="preserve">About modal — </w:t>
      </w:r>
      <w:r>
        <w:t xml:space="preserve">An in-site explainer of what AgentShield is, its capabilities, and how it differs.</w:t>
      </w:r>
    </w:p>
    <w:tbl>
      <w:tblPr>
        <w:tblW w:type="dxa" w:w="9360"/>
        <w:tblBorders>
          <w:top w:val="single" w:color="EEF3F9" w:sz="2"/>
          <w:left w:val="single" w:color="1C4E80" w:sz="24"/>
          <w:bottom w:val="single" w:color="EEF3F9" w:sz="2"/>
          <w:right w:val="single" w:color="EEF3F9" w:sz="2"/>
          <w:insideH w:val="single" w:color="auto" w:sz="4"/>
          <w:insideV w:val="single" w:color="auto" w:sz="4"/>
        </w:tblBorders>
      </w:tblPr>
      <w:tblGrid>
        <w:gridCol w:w="9360"/>
      </w:tblGrid>
      <w:tr>
        <w:tc>
          <w:tcPr>
            <w:tcW w:type="dxa" w:w="9360"/>
            <w:shd w:fill="EEF3F9" w:color="auto" w:val="clear"/>
            <w:tcMar>
              <w:top w:type="dxa" w:w="120"/>
              <w:left w:type="dxa" w:w="180"/>
              <w:bottom w:type="dxa" w:w="120"/>
              <w:right w:type="dxa" w:w="160"/>
            </w:tcMar>
          </w:tcPr>
          <w:p>
            <w:pPr>
              <w:spacing w:after="60"/>
            </w:pPr>
            <w:r>
              <w:rPr>
                <w:b/>
                <w:bCs/>
                <w:color w:val="1C4E80"/>
              </w:rPr>
              <w:t xml:space="preserve">Self-contained &amp; safe by construction</w:t>
            </w:r>
          </w:p>
          <w:p>
            <w:pPr>
              <w:spacing w:after="40" w:line="272"/>
            </w:pPr>
            <w:r>
              <w:t xml:space="preserve">Both HTML renderers assert the output contains no scripts, external URLs, iframes, or event handlers, and recursively escape values and redact credential-like fields. A report is safe to email, archive, or open offline.</w:t>
            </w:r>
          </w:p>
        </w:tc>
      </w:tr>
    </w:tbl>
    <w:p>
      <w:pPr>
        <w:pStyle w:val="Heading1"/>
        <w:spacing w:after="160" w:before="320"/>
      </w:pPr>
      <w:r>
        <w:t xml:space="preserve">8. Deployment &amp; Operations</w:t>
      </w:r>
    </w:p>
    <w:p>
      <w:pPr>
        <w:pStyle w:val="ListParagraph"/>
        <w:numPr>
          <w:ilvl w:val="0"/>
          <w:numId w:val="2"/>
        </w:numPr>
        <w:spacing w:after="80" w:line="276"/>
      </w:pPr>
      <w:r>
        <w:rPr>
          <w:b/>
          <w:bCs/>
        </w:rPr>
        <w:t xml:space="preserve">Hosting — </w:t>
      </w:r>
      <w:r>
        <w:t xml:space="preserve">Azure Container Apps (Central India), resource group rg-agentshield, registry agentshieldpacr2026.</w:t>
      </w:r>
    </w:p>
    <w:p>
      <w:pPr>
        <w:pStyle w:val="ListParagraph"/>
        <w:numPr>
          <w:ilvl w:val="0"/>
          <w:numId w:val="2"/>
        </w:numPr>
        <w:spacing w:after="80" w:line="276"/>
      </w:pPr>
      <w:r>
        <w:rPr>
          <w:b/>
          <w:bCs/>
        </w:rPr>
        <w:t xml:space="preserve">Container — </w:t>
      </w:r>
      <w:r>
        <w:t xml:space="preserve">A single Dockerfile bundles the whole repository (engine, scripts, caches) plus the Next.js app; the /api/assess route runs the Python pipeline.</w:t>
      </w:r>
    </w:p>
    <w:p>
      <w:pPr>
        <w:pStyle w:val="ListParagraph"/>
        <w:numPr>
          <w:ilvl w:val="0"/>
          <w:numId w:val="2"/>
        </w:numPr>
        <w:spacing w:after="80" w:line="276"/>
      </w:pPr>
      <w:r>
        <w:rPr>
          <w:b/>
          <w:bCs/>
        </w:rPr>
        <w:t xml:space="preserve">CI / CD — </w:t>
      </w:r>
      <w:r>
        <w:t xml:space="preserve">Push to main auto-redeploys via GitHub Actions; an enrichment-parity gate keeps web and CLI reports identical.</w:t>
      </w:r>
    </w:p>
    <w:p>
      <w:pPr>
        <w:pStyle w:val="ListParagraph"/>
        <w:numPr>
          <w:ilvl w:val="0"/>
          <w:numId w:val="2"/>
        </w:numPr>
        <w:spacing w:after="80" w:line="276"/>
      </w:pPr>
      <w:r>
        <w:rPr>
          <w:b/>
          <w:bCs/>
        </w:rPr>
        <w:t xml:space="preserve">LLM enrichment backends — </w:t>
      </w:r>
      <w:r>
        <w:t xml:space="preserve">Azure AI Foundry Model Inference (preferred), then Azure OpenAI, then retired GitHub Models; with no credentials the engine falls back to a fully deterministic report — the site never breaks.</w:t>
      </w:r>
    </w:p>
    <w:p>
      <w:pPr>
        <w:pStyle w:val="ListParagraph"/>
        <w:numPr>
          <w:ilvl w:val="0"/>
          <w:numId w:val="2"/>
        </w:numPr>
        <w:spacing w:after="80" w:line="276"/>
      </w:pPr>
      <w:r>
        <w:rPr>
          <w:b/>
          <w:bCs/>
        </w:rPr>
        <w:t xml:space="preserve">Reproducibility — </w:t>
      </w:r>
      <w:r>
        <w:t xml:space="preserve">Committed, prompt-versioned enrichment cache ensures identical narratives across environments.</w:t>
      </w:r>
    </w:p>
    <w:p>
      <w:pPr>
        <w:pStyle w:val="Heading1"/>
        <w:spacing w:after="160" w:before="320"/>
      </w:pPr>
      <w:r>
        <w:t xml:space="preserve">9. Business Value</w:t>
      </w:r>
    </w:p>
    <w:p>
      <w:pPr>
        <w:spacing w:after="120" w:before="0" w:line="276"/>
      </w:pPr>
      <w:r>
        <w:t xml:space="preserve">AgentShield converts “we hope the agent behaves” into demonstrable, auditable control. That translates into concrete value for the teams shipping and governing agents:</w:t>
      </w:r>
    </w:p>
    <w:p>
      <w:pPr>
        <w:pStyle w:val="ListParagraph"/>
        <w:numPr>
          <w:ilvl w:val="0"/>
          <w:numId w:val="2"/>
        </w:numPr>
        <w:spacing w:after="80" w:line="276"/>
      </w:pPr>
      <w:r>
        <w:rPr>
          <w:b/>
          <w:bCs/>
        </w:rPr>
        <w:t xml:space="preserve">Ship agents faster, safely — </w:t>
      </w:r>
      <w:r>
        <w:t xml:space="preserve">A deterministic gate between intent and action lets teams grant autonomy without betting production on a model's good behaviour.</w:t>
      </w:r>
    </w:p>
    <w:p>
      <w:pPr>
        <w:pStyle w:val="ListParagraph"/>
        <w:numPr>
          <w:ilvl w:val="0"/>
          <w:numId w:val="2"/>
        </w:numPr>
        <w:spacing w:after="80" w:line="276"/>
      </w:pPr>
      <w:r>
        <w:rPr>
          <w:b/>
          <w:bCs/>
        </w:rPr>
        <w:t xml:space="preserve">Lower incident risk — </w:t>
      </w:r>
      <w:r>
        <w:t xml:space="preserve">Fail-closed defaults, blast-radius scoring, and reversible plans prevent the small class of actions that cause the largest damage.</w:t>
      </w:r>
    </w:p>
    <w:p>
      <w:pPr>
        <w:pStyle w:val="ListParagraph"/>
        <w:numPr>
          <w:ilvl w:val="0"/>
          <w:numId w:val="2"/>
        </w:numPr>
        <w:spacing w:after="80" w:line="276"/>
      </w:pPr>
      <w:r>
        <w:rPr>
          <w:b/>
          <w:bCs/>
        </w:rPr>
        <w:t xml:space="preserve">Audit-ready evidence — </w:t>
      </w:r>
      <w:r>
        <w:t xml:space="preserve">A tamper-evident ledger records every outcome — including denials — giving security, risk, and audit teams a trustworthy trail.</w:t>
      </w:r>
    </w:p>
    <w:p>
      <w:pPr>
        <w:pStyle w:val="ListParagraph"/>
        <w:numPr>
          <w:ilvl w:val="0"/>
          <w:numId w:val="2"/>
        </w:numPr>
        <w:spacing w:after="80" w:line="276"/>
      </w:pPr>
      <w:r>
        <w:rPr>
          <w:b/>
          <w:bCs/>
        </w:rPr>
        <w:t xml:space="preserve">Framework alignment on demand — </w:t>
      </w:r>
      <w:r>
        <w:t xml:space="preserve">Advisory mapping to OWASP LLM, NIST AI RMF, and the EU AI Act helps teams show diligence without over-claiming compliance.</w:t>
      </w:r>
    </w:p>
    <w:p>
      <w:pPr>
        <w:pStyle w:val="ListParagraph"/>
        <w:numPr>
          <w:ilvl w:val="0"/>
          <w:numId w:val="2"/>
        </w:numPr>
        <w:spacing w:after="80" w:line="276"/>
      </w:pPr>
      <w:r>
        <w:rPr>
          <w:b/>
          <w:bCs/>
        </w:rPr>
        <w:t xml:space="preserve">Cost efficiency — </w:t>
      </w:r>
      <w:r>
        <w:t xml:space="preserve">The measured optimization layer cuts token and compute cost of governance with zero decision impact.</w:t>
      </w:r>
    </w:p>
    <w:p>
      <w:pPr>
        <w:pStyle w:val="ListParagraph"/>
        <w:numPr>
          <w:ilvl w:val="0"/>
          <w:numId w:val="2"/>
        </w:numPr>
        <w:spacing w:after="80" w:line="276"/>
      </w:pPr>
      <w:r>
        <w:rPr>
          <w:b/>
          <w:bCs/>
        </w:rPr>
        <w:t xml:space="preserve">Trust as a feature — </w:t>
      </w:r>
      <w:r>
        <w:t xml:space="preserve">Self-contained evidence reports are something teams can share with customers, partners, and regulators.</w:t>
      </w:r>
    </w:p>
    <w:p>
      <w:pPr>
        <w:pStyle w:val="Heading1"/>
        <w:spacing w:after="160" w:before="320"/>
      </w:pPr>
      <w:r>
        <w:t xml:space="preserve">10. Market Opportunity</w:t>
      </w:r>
    </w:p>
    <w:p>
      <w:pPr>
        <w:spacing w:after="120" w:before="0" w:line="276"/>
      </w:pPr>
      <w:r>
        <w:t xml:space="preserve">The market for agentic AI governance is being created in real time. Enterprises are deploying autonomous agents across engineering, IT operations, customer support, and security — and every one of those agents needs a control plane before it is trusted to act.</w:t>
      </w:r>
    </w:p>
    <w:p>
      <w:pPr>
        <w:pStyle w:val="ListParagraph"/>
        <w:numPr>
          <w:ilvl w:val="0"/>
          <w:numId w:val="2"/>
        </w:numPr>
        <w:spacing w:after="80" w:line="276"/>
      </w:pPr>
      <w:r>
        <w:rPr>
          <w:b/>
          <w:bCs/>
        </w:rPr>
        <w:t xml:space="preserve">Rapid agent adoption — </w:t>
      </w:r>
      <w:r>
        <w:t xml:space="preserve">Agent frameworks, MCP tool ecosystems, and multi-agent orchestration are moving into production ahead of the controls to govern them.</w:t>
      </w:r>
    </w:p>
    <w:p>
      <w:pPr>
        <w:pStyle w:val="ListParagraph"/>
        <w:numPr>
          <w:ilvl w:val="0"/>
          <w:numId w:val="2"/>
        </w:numPr>
        <w:spacing w:after="80" w:line="276"/>
      </w:pPr>
      <w:r>
        <w:rPr>
          <w:b/>
          <w:bCs/>
        </w:rPr>
        <w:t xml:space="preserve">Regulatory pull — </w:t>
      </w:r>
      <w:r>
        <w:t xml:space="preserve">The EU AI Act and published risk frameworks push organisations to demonstrate controls, not just claim safety.</w:t>
      </w:r>
    </w:p>
    <w:p>
      <w:pPr>
        <w:pStyle w:val="ListParagraph"/>
        <w:numPr>
          <w:ilvl w:val="0"/>
          <w:numId w:val="2"/>
        </w:numPr>
        <w:spacing w:after="80" w:line="276"/>
      </w:pPr>
      <w:r>
        <w:rPr>
          <w:b/>
          <w:bCs/>
        </w:rPr>
        <w:t xml:space="preserve">A category gap — </w:t>
      </w:r>
      <w:r>
        <w:t xml:space="preserve">AppSec scanners, content filters, and model-eval tools each cover a slice; none provide deterministic, action-level authorization with human-in-the-loop and audit evidence.</w:t>
      </w:r>
    </w:p>
    <w:p>
      <w:pPr>
        <w:pStyle w:val="ListParagraph"/>
        <w:numPr>
          <w:ilvl w:val="0"/>
          <w:numId w:val="2"/>
        </w:numPr>
        <w:spacing w:after="80" w:line="276"/>
      </w:pPr>
      <w:r>
        <w:rPr>
          <w:b/>
          <w:bCs/>
        </w:rPr>
        <w:t xml:space="preserve">Buyer urgency — </w:t>
      </w:r>
      <w:r>
        <w:t xml:space="preserve">The cost of a single irreversible agent action (data loss, outage, exfiltration) dwarfs the cost of a governance layer, making this a budgeted security need rather than a nice-to-have.</w:t>
      </w:r>
    </w:p>
    <w:p>
      <w:r>
        <w:br w:type="page"/>
      </w:r>
    </w:p>
    <w:p>
      <w:pPr>
        <w:pStyle w:val="Heading1"/>
        <w:spacing w:after="160" w:before="320"/>
      </w:pPr>
      <w:r>
        <w:t xml:space="preserve">11. Differentiation — Why This Stands Out</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2100"/>
        <w:gridCol w:w="3630"/>
        <w:gridCol w:w="3630"/>
      </w:tblGrid>
      <w:tr>
        <w:trPr>
          <w:tblHeader/>
        </w:trPr>
        <w:tc>
          <w:tcPr>
            <w:tcW w:type="dxa" w:w="2100"/>
            <w:shd w:fill="0B1F3A" w:color="auto" w:val="clear"/>
            <w:tcMar>
              <w:top w:type="dxa" w:w="70"/>
              <w:left w:type="dxa" w:w="120"/>
              <w:bottom w:type="dxa" w:w="70"/>
              <w:right w:type="dxa" w:w="120"/>
            </w:tcMar>
            <w:vAlign w:val="center"/>
          </w:tcPr>
          <w:p>
            <w:pPr>
              <w:spacing w:after="0" w:line="264"/>
            </w:pPr>
            <w:r>
              <w:rPr>
                <w:b/>
                <w:bCs/>
                <w:color w:val="FFFFFF"/>
              </w:rPr>
              <w:t xml:space="preserve">Dimension</w:t>
            </w:r>
          </w:p>
        </w:tc>
        <w:tc>
          <w:tcPr>
            <w:tcW w:type="dxa" w:w="3630"/>
            <w:shd w:fill="0B1F3A" w:color="auto" w:val="clear"/>
            <w:tcMar>
              <w:top w:type="dxa" w:w="70"/>
              <w:left w:type="dxa" w:w="120"/>
              <w:bottom w:type="dxa" w:w="70"/>
              <w:right w:type="dxa" w:w="120"/>
            </w:tcMar>
            <w:vAlign w:val="center"/>
          </w:tcPr>
          <w:p>
            <w:pPr>
              <w:spacing w:after="0" w:line="264"/>
            </w:pPr>
            <w:r>
              <w:rPr>
                <w:b/>
                <w:bCs/>
                <w:color w:val="FFFFFF"/>
              </w:rPr>
              <w:t xml:space="preserve">Typical AI scanners / filters</w:t>
            </w:r>
          </w:p>
        </w:tc>
        <w:tc>
          <w:tcPr>
            <w:tcW w:type="dxa" w:w="3630"/>
            <w:shd w:fill="0B1F3A" w:color="auto" w:val="clear"/>
            <w:tcMar>
              <w:top w:type="dxa" w:w="70"/>
              <w:left w:type="dxa" w:w="120"/>
              <w:bottom w:type="dxa" w:w="70"/>
              <w:right w:type="dxa" w:w="120"/>
            </w:tcMar>
            <w:vAlign w:val="center"/>
          </w:tcPr>
          <w:p>
            <w:pPr>
              <w:spacing w:after="0" w:line="264"/>
            </w:pPr>
            <w:r>
              <w:rPr>
                <w:b/>
                <w:bCs/>
                <w:color w:val="FFFFFF"/>
              </w:rPr>
              <w:t xml:space="preserve">AgentShield AI</w:t>
            </w:r>
          </w:p>
        </w:tc>
      </w:tr>
      <w:tr>
        <w:tc>
          <w:tcPr>
            <w:tcW w:type="dxa" w:w="2100"/>
            <w:tcMar>
              <w:top w:type="dxa" w:w="70"/>
              <w:left w:type="dxa" w:w="120"/>
              <w:bottom w:type="dxa" w:w="70"/>
              <w:right w:type="dxa" w:w="120"/>
            </w:tcMar>
            <w:vAlign w:val="center"/>
          </w:tcPr>
          <w:p>
            <w:pPr>
              <w:spacing w:after="0" w:line="264"/>
            </w:pPr>
            <w:r>
              <w:t xml:space="preserve">Authorization decision</w:t>
            </w:r>
          </w:p>
        </w:tc>
        <w:tc>
          <w:tcPr>
            <w:tcW w:type="dxa" w:w="3630"/>
            <w:tcMar>
              <w:top w:type="dxa" w:w="70"/>
              <w:left w:type="dxa" w:w="120"/>
              <w:bottom w:type="dxa" w:w="70"/>
              <w:right w:type="dxa" w:w="120"/>
            </w:tcMar>
            <w:vAlign w:val="center"/>
          </w:tcPr>
          <w:p>
            <w:pPr>
              <w:spacing w:after="0" w:line="264"/>
            </w:pPr>
            <w:r>
              <w:t xml:space="preserve">Heuristic or model-graded</w:t>
            </w:r>
          </w:p>
        </w:tc>
        <w:tc>
          <w:tcPr>
            <w:tcW w:type="dxa" w:w="3630"/>
            <w:tcMar>
              <w:top w:type="dxa" w:w="70"/>
              <w:left w:type="dxa" w:w="120"/>
              <w:bottom w:type="dxa" w:w="70"/>
              <w:right w:type="dxa" w:w="120"/>
            </w:tcMar>
            <w:vAlign w:val="center"/>
          </w:tcPr>
          <w:p>
            <w:pPr>
              <w:spacing w:after="0" w:line="264"/>
            </w:pPr>
            <w:r>
              <w:t xml:space="preserve">Deterministic, versioned policy</w:t>
            </w:r>
          </w:p>
        </w:tc>
      </w:tr>
      <w:tr>
        <w:tc>
          <w:tcPr>
            <w:tcW w:type="dxa" w:w="2100"/>
            <w:shd w:fill="F1F5F9" w:color="auto" w:val="clear"/>
            <w:tcMar>
              <w:top w:type="dxa" w:w="70"/>
              <w:left w:type="dxa" w:w="120"/>
              <w:bottom w:type="dxa" w:w="70"/>
              <w:right w:type="dxa" w:w="120"/>
            </w:tcMar>
            <w:vAlign w:val="center"/>
          </w:tcPr>
          <w:p>
            <w:pPr>
              <w:spacing w:after="0" w:line="264"/>
            </w:pPr>
            <w:r>
              <w:t xml:space="preserve">Assurance vs authorization</w:t>
            </w:r>
          </w:p>
        </w:tc>
        <w:tc>
          <w:tcPr>
            <w:tcW w:type="dxa" w:w="3630"/>
            <w:shd w:fill="F1F5F9" w:color="auto" w:val="clear"/>
            <w:tcMar>
              <w:top w:type="dxa" w:w="70"/>
              <w:left w:type="dxa" w:w="120"/>
              <w:bottom w:type="dxa" w:w="70"/>
              <w:right w:type="dxa" w:w="120"/>
            </w:tcMar>
            <w:vAlign w:val="center"/>
          </w:tcPr>
          <w:p>
            <w:pPr>
              <w:spacing w:after="0" w:line="264"/>
            </w:pPr>
            <w:r>
              <w:t xml:space="preserve">Blended into one score</w:t>
            </w:r>
          </w:p>
        </w:tc>
        <w:tc>
          <w:tcPr>
            <w:tcW w:type="dxa" w:w="3630"/>
            <w:shd w:fill="F1F5F9" w:color="auto" w:val="clear"/>
            <w:tcMar>
              <w:top w:type="dxa" w:w="70"/>
              <w:left w:type="dxa" w:w="120"/>
              <w:bottom w:type="dxa" w:w="70"/>
              <w:right w:type="dxa" w:w="120"/>
            </w:tcMar>
            <w:vAlign w:val="center"/>
          </w:tcPr>
          <w:p>
            <w:pPr>
              <w:spacing w:after="0" w:line="264"/>
            </w:pPr>
            <w:r>
              <w:t xml:space="preserve">Strictly separated (PASS≠ALLOW)</w:t>
            </w:r>
          </w:p>
        </w:tc>
      </w:tr>
      <w:tr>
        <w:tc>
          <w:tcPr>
            <w:tcW w:type="dxa" w:w="2100"/>
            <w:tcMar>
              <w:top w:type="dxa" w:w="70"/>
              <w:left w:type="dxa" w:w="120"/>
              <w:bottom w:type="dxa" w:w="70"/>
              <w:right w:type="dxa" w:w="120"/>
            </w:tcMar>
            <w:vAlign w:val="center"/>
          </w:tcPr>
          <w:p>
            <w:pPr>
              <w:spacing w:after="0" w:line="264"/>
            </w:pPr>
            <w:r>
              <w:t xml:space="preserve">Failure behaviour</w:t>
            </w:r>
          </w:p>
        </w:tc>
        <w:tc>
          <w:tcPr>
            <w:tcW w:type="dxa" w:w="3630"/>
            <w:tcMar>
              <w:top w:type="dxa" w:w="70"/>
              <w:left w:type="dxa" w:w="120"/>
              <w:bottom w:type="dxa" w:w="70"/>
              <w:right w:type="dxa" w:w="120"/>
            </w:tcMar>
            <w:vAlign w:val="center"/>
          </w:tcPr>
          <w:p>
            <w:pPr>
              <w:spacing w:after="0" w:line="264"/>
            </w:pPr>
            <w:r>
              <w:t xml:space="preserve">Often fails open / silent</w:t>
            </w:r>
          </w:p>
        </w:tc>
        <w:tc>
          <w:tcPr>
            <w:tcW w:type="dxa" w:w="3630"/>
            <w:tcMar>
              <w:top w:type="dxa" w:w="70"/>
              <w:left w:type="dxa" w:w="120"/>
              <w:bottom w:type="dxa" w:w="70"/>
              <w:right w:type="dxa" w:w="120"/>
            </w:tcMar>
            <w:vAlign w:val="center"/>
          </w:tcPr>
          <w:p>
            <w:pPr>
              <w:spacing w:after="0" w:line="264"/>
            </w:pPr>
            <w:r>
              <w:t xml:space="preserve">Fails closed on high-risk uncertainty</w:t>
            </w:r>
          </w:p>
        </w:tc>
      </w:tr>
      <w:tr>
        <w:tc>
          <w:tcPr>
            <w:tcW w:type="dxa" w:w="2100"/>
            <w:shd w:fill="F1F5F9" w:color="auto" w:val="clear"/>
            <w:tcMar>
              <w:top w:type="dxa" w:w="70"/>
              <w:left w:type="dxa" w:w="120"/>
              <w:bottom w:type="dxa" w:w="70"/>
              <w:right w:type="dxa" w:w="120"/>
            </w:tcMar>
            <w:vAlign w:val="center"/>
          </w:tcPr>
          <w:p>
            <w:pPr>
              <w:spacing w:after="0" w:line="264"/>
            </w:pPr>
            <w:r>
              <w:t xml:space="preserve">LLM role</w:t>
            </w:r>
          </w:p>
        </w:tc>
        <w:tc>
          <w:tcPr>
            <w:tcW w:type="dxa" w:w="3630"/>
            <w:shd w:fill="F1F5F9" w:color="auto" w:val="clear"/>
            <w:tcMar>
              <w:top w:type="dxa" w:w="70"/>
              <w:left w:type="dxa" w:w="120"/>
              <w:bottom w:type="dxa" w:w="70"/>
              <w:right w:type="dxa" w:w="120"/>
            </w:tcMar>
            <w:vAlign w:val="center"/>
          </w:tcPr>
          <w:p>
            <w:pPr>
              <w:spacing w:after="0" w:line="264"/>
            </w:pPr>
            <w:r>
              <w:t xml:space="preserve">Model may grant/relax controls</w:t>
            </w:r>
          </w:p>
        </w:tc>
        <w:tc>
          <w:tcPr>
            <w:tcW w:type="dxa" w:w="3630"/>
            <w:shd w:fill="F1F5F9" w:color="auto" w:val="clear"/>
            <w:tcMar>
              <w:top w:type="dxa" w:w="70"/>
              <w:left w:type="dxa" w:w="120"/>
              <w:bottom w:type="dxa" w:w="70"/>
              <w:right w:type="dxa" w:w="120"/>
            </w:tcMar>
            <w:vAlign w:val="center"/>
          </w:tcPr>
          <w:p>
            <w:pPr>
              <w:spacing w:after="0" w:line="264"/>
            </w:pPr>
            <w:r>
              <w:t xml:space="preserve">LLM never authorizes or weakens a control</w:t>
            </w:r>
          </w:p>
        </w:tc>
      </w:tr>
      <w:tr>
        <w:tc>
          <w:tcPr>
            <w:tcW w:type="dxa" w:w="2100"/>
            <w:tcMar>
              <w:top w:type="dxa" w:w="70"/>
              <w:left w:type="dxa" w:w="120"/>
              <w:bottom w:type="dxa" w:w="70"/>
              <w:right w:type="dxa" w:w="120"/>
            </w:tcMar>
            <w:vAlign w:val="center"/>
          </w:tcPr>
          <w:p>
            <w:pPr>
              <w:spacing w:after="0" w:line="264"/>
            </w:pPr>
            <w:r>
              <w:t xml:space="preserve">Action safety</w:t>
            </w:r>
          </w:p>
        </w:tc>
        <w:tc>
          <w:tcPr>
            <w:tcW w:type="dxa" w:w="3630"/>
            <w:tcMar>
              <w:top w:type="dxa" w:w="70"/>
              <w:left w:type="dxa" w:w="120"/>
              <w:bottom w:type="dxa" w:w="70"/>
              <w:right w:type="dxa" w:w="120"/>
            </w:tcMar>
            <w:vAlign w:val="center"/>
          </w:tcPr>
          <w:p>
            <w:pPr>
              <w:spacing w:after="0" w:line="264"/>
            </w:pPr>
            <w:r>
              <w:t xml:space="preserve">Not modelled</w:t>
            </w:r>
          </w:p>
        </w:tc>
        <w:tc>
          <w:tcPr>
            <w:tcW w:type="dxa" w:w="3630"/>
            <w:tcMar>
              <w:top w:type="dxa" w:w="70"/>
              <w:left w:type="dxa" w:w="120"/>
              <w:bottom w:type="dxa" w:w="70"/>
              <w:right w:type="dxa" w:w="120"/>
            </w:tcMar>
            <w:vAlign w:val="center"/>
          </w:tcPr>
          <w:p>
            <w:pPr>
              <w:spacing w:after="0" w:line="264"/>
            </w:pPr>
            <w:r>
              <w:t xml:space="preserve">Blast radius + reversibility + safe plan</w:t>
            </w:r>
          </w:p>
        </w:tc>
      </w:tr>
      <w:tr>
        <w:tc>
          <w:tcPr>
            <w:tcW w:type="dxa" w:w="2100"/>
            <w:shd w:fill="F1F5F9" w:color="auto" w:val="clear"/>
            <w:tcMar>
              <w:top w:type="dxa" w:w="70"/>
              <w:left w:type="dxa" w:w="120"/>
              <w:bottom w:type="dxa" w:w="70"/>
              <w:right w:type="dxa" w:w="120"/>
            </w:tcMar>
            <w:vAlign w:val="center"/>
          </w:tcPr>
          <w:p>
            <w:pPr>
              <w:spacing w:after="0" w:line="264"/>
            </w:pPr>
            <w:r>
              <w:t xml:space="preserve">Evidence</w:t>
            </w:r>
          </w:p>
        </w:tc>
        <w:tc>
          <w:tcPr>
            <w:tcW w:type="dxa" w:w="3630"/>
            <w:shd w:fill="F1F5F9" w:color="auto" w:val="clear"/>
            <w:tcMar>
              <w:top w:type="dxa" w:w="70"/>
              <w:left w:type="dxa" w:w="120"/>
              <w:bottom w:type="dxa" w:w="70"/>
              <w:right w:type="dxa" w:w="120"/>
            </w:tcMar>
            <w:vAlign w:val="center"/>
          </w:tcPr>
          <w:p>
            <w:pPr>
              <w:spacing w:after="0" w:line="264"/>
            </w:pPr>
            <w:r>
              <w:t xml:space="preserve">Scores without provenance</w:t>
            </w:r>
          </w:p>
        </w:tc>
        <w:tc>
          <w:tcPr>
            <w:tcW w:type="dxa" w:w="3630"/>
            <w:shd w:fill="F1F5F9" w:color="auto" w:val="clear"/>
            <w:tcMar>
              <w:top w:type="dxa" w:w="70"/>
              <w:left w:type="dxa" w:w="120"/>
              <w:bottom w:type="dxa" w:w="70"/>
              <w:right w:type="dxa" w:w="120"/>
            </w:tcMar>
            <w:vAlign w:val="center"/>
          </w:tcPr>
          <w:p>
            <w:pPr>
              <w:spacing w:after="0" w:line="264"/>
            </w:pPr>
            <w:r>
              <w:t xml:space="preserve">Provenance + confidence weighting, tamper-evident ledger</w:t>
            </w:r>
          </w:p>
        </w:tc>
      </w:tr>
      <w:tr>
        <w:tc>
          <w:tcPr>
            <w:tcW w:type="dxa" w:w="2100"/>
            <w:tcMar>
              <w:top w:type="dxa" w:w="70"/>
              <w:left w:type="dxa" w:w="120"/>
              <w:bottom w:type="dxa" w:w="70"/>
              <w:right w:type="dxa" w:w="120"/>
            </w:tcMar>
            <w:vAlign w:val="center"/>
          </w:tcPr>
          <w:p>
            <w:pPr>
              <w:spacing w:after="0" w:line="264"/>
            </w:pPr>
            <w:r>
              <w:t xml:space="preserve">Reports</w:t>
            </w:r>
          </w:p>
        </w:tc>
        <w:tc>
          <w:tcPr>
            <w:tcW w:type="dxa" w:w="3630"/>
            <w:tcMar>
              <w:top w:type="dxa" w:w="70"/>
              <w:left w:type="dxa" w:w="120"/>
              <w:bottom w:type="dxa" w:w="70"/>
              <w:right w:type="dxa" w:w="120"/>
            </w:tcMar>
            <w:vAlign w:val="center"/>
          </w:tcPr>
          <w:p>
            <w:pPr>
              <w:spacing w:after="0" w:line="264"/>
            </w:pPr>
            <w:r>
              <w:t xml:space="preserve">Dashboards behind a login</w:t>
            </w:r>
          </w:p>
        </w:tc>
        <w:tc>
          <w:tcPr>
            <w:tcW w:type="dxa" w:w="3630"/>
            <w:tcMar>
              <w:top w:type="dxa" w:w="70"/>
              <w:left w:type="dxa" w:w="120"/>
              <w:bottom w:type="dxa" w:w="70"/>
              <w:right w:type="dxa" w:w="120"/>
            </w:tcMar>
            <w:vAlign w:val="center"/>
          </w:tcPr>
          <w:p>
            <w:pPr>
              <w:spacing w:after="0" w:line="264"/>
            </w:pPr>
            <w:r>
              <w:t xml:space="preserve">Self-contained, offline-safe HTML evidence</w:t>
            </w:r>
          </w:p>
        </w:tc>
      </w:tr>
      <w:tr>
        <w:tc>
          <w:tcPr>
            <w:tcW w:type="dxa" w:w="2100"/>
            <w:shd w:fill="F1F5F9" w:color="auto" w:val="clear"/>
            <w:tcMar>
              <w:top w:type="dxa" w:w="70"/>
              <w:left w:type="dxa" w:w="120"/>
              <w:bottom w:type="dxa" w:w="70"/>
              <w:right w:type="dxa" w:w="120"/>
            </w:tcMar>
            <w:vAlign w:val="center"/>
          </w:tcPr>
          <w:p>
            <w:pPr>
              <w:spacing w:after="0" w:line="264"/>
            </w:pPr>
            <w:r>
              <w:t xml:space="preserve">Compliance claims</w:t>
            </w:r>
          </w:p>
        </w:tc>
        <w:tc>
          <w:tcPr>
            <w:tcW w:type="dxa" w:w="3630"/>
            <w:shd w:fill="F1F5F9" w:color="auto" w:val="clear"/>
            <w:tcMar>
              <w:top w:type="dxa" w:w="70"/>
              <w:left w:type="dxa" w:w="120"/>
              <w:bottom w:type="dxa" w:w="70"/>
              <w:right w:type="dxa" w:w="120"/>
            </w:tcMar>
            <w:vAlign w:val="center"/>
          </w:tcPr>
          <w:p>
            <w:pPr>
              <w:spacing w:after="0" w:line="264"/>
            </w:pPr>
            <w:r>
              <w:t xml:space="preserve">Sometimes over-claimed</w:t>
            </w:r>
          </w:p>
        </w:tc>
        <w:tc>
          <w:tcPr>
            <w:tcW w:type="dxa" w:w="3630"/>
            <w:shd w:fill="F1F5F9" w:color="auto" w:val="clear"/>
            <w:tcMar>
              <w:top w:type="dxa" w:w="70"/>
              <w:left w:type="dxa" w:w="120"/>
              <w:bottom w:type="dxa" w:w="70"/>
              <w:right w:type="dxa" w:w="120"/>
            </w:tcMar>
            <w:vAlign w:val="center"/>
          </w:tcPr>
          <w:p>
            <w:pPr>
              <w:spacing w:after="0" w:line="264"/>
            </w:pPr>
            <w:r>
              <w:t xml:space="preserve">Advisory, versioned, explicitly not certification</w:t>
            </w:r>
          </w:p>
        </w:tc>
      </w:tr>
    </w:tbl>
    <w:p>
      <w:pPr>
        <w:spacing w:after="40"/>
      </w:pPr>
      <w:r>
        <w:t xml:space="preserve"/>
      </w:r>
    </w:p>
    <w:p>
      <w:pPr>
        <w:pStyle w:val="Heading3"/>
        <w:spacing w:after="80" w:before="180"/>
      </w:pPr>
      <w:r>
        <w:t xml:space="preserve">The four non-negotiable principles</w:t>
      </w:r>
    </w:p>
    <w:p>
      <w:pPr>
        <w:pStyle w:val="ListParagraph"/>
        <w:numPr>
          <w:ilvl w:val="0"/>
          <w:numId w:val="2"/>
        </w:numPr>
        <w:spacing w:after="80" w:line="276"/>
      </w:pPr>
      <w:r>
        <w:rPr>
          <w:b/>
          <w:bCs/>
        </w:rPr>
        <w:t xml:space="preserve">Deterministic authorization — </w:t>
      </w:r>
      <w:r>
        <w:t xml:space="preserve">Only versioned, deterministic controls decide access; a model can never grant it.</w:t>
      </w:r>
    </w:p>
    <w:p>
      <w:pPr>
        <w:pStyle w:val="ListParagraph"/>
        <w:numPr>
          <w:ilvl w:val="0"/>
          <w:numId w:val="2"/>
        </w:numPr>
        <w:spacing w:after="80" w:line="276"/>
      </w:pPr>
      <w:r>
        <w:rPr>
          <w:b/>
          <w:bCs/>
        </w:rPr>
        <w:t xml:space="preserve">Assurance is not authorization — </w:t>
      </w:r>
      <w:r>
        <w:t xml:space="preserve">Confidence in design is kept separate from permission for one action.</w:t>
      </w:r>
    </w:p>
    <w:p>
      <w:pPr>
        <w:pStyle w:val="ListParagraph"/>
        <w:numPr>
          <w:ilvl w:val="0"/>
          <w:numId w:val="2"/>
        </w:numPr>
        <w:spacing w:after="80" w:line="276"/>
      </w:pPr>
      <w:r>
        <w:rPr>
          <w:b/>
          <w:bCs/>
        </w:rPr>
        <w:t xml:space="preserve">Fail closed — </w:t>
      </w:r>
      <w:r>
        <w:t xml:space="preserve">Unknown identity, unavailable policy, invalid approval, or high-risk missing evidence resolve to the safe outcome.</w:t>
      </w:r>
    </w:p>
    <w:p>
      <w:pPr>
        <w:pStyle w:val="ListParagraph"/>
        <w:numPr>
          <w:ilvl w:val="0"/>
          <w:numId w:val="2"/>
        </w:numPr>
        <w:spacing w:after="80" w:line="276"/>
      </w:pPr>
      <w:r>
        <w:rPr>
          <w:b/>
          <w:bCs/>
        </w:rPr>
        <w:t xml:space="preserve">Never fabricate — </w:t>
      </w:r>
      <w:r>
        <w:t xml:space="preserve">No invented connector, capability, credential, test result, or evidence record; missing evidence stays a coverage limitation.</w:t>
      </w:r>
    </w:p>
    <w:p>
      <w:pPr>
        <w:pStyle w:val="Heading1"/>
        <w:spacing w:after="160" w:before="320"/>
      </w:pPr>
      <w:r>
        <w:t xml:space="preserve">12. Responsible Use, Limitations &amp; Safety Boundaries</w:t>
      </w:r>
    </w:p>
    <w:p>
      <w:pPr>
        <w:spacing w:after="120" w:before="0" w:line="276"/>
      </w:pPr>
      <w:r>
        <w:t xml:space="preserve">AgentShield AI provides security assurance and governance support — not certification, legal advice, compliance approval, or a guarantee of safety. It evaluates only supplied and accessible evidence, distinguishes design intent from implemented and tested controls, fails closed on high-risk uncertainty, and never lets an LLM grant authorization. Human owners remain accountable for their systems, approvals, and production changes.</w:t>
      </w:r>
    </w:p>
    <w:p>
      <w:pPr>
        <w:pStyle w:val="ListParagraph"/>
        <w:numPr>
          <w:ilvl w:val="0"/>
          <w:numId w:val="2"/>
        </w:numPr>
        <w:spacing w:after="80" w:line="276"/>
      </w:pPr>
      <w:r>
        <w:rPr>
          <w:b/>
          <w:bCs/>
        </w:rPr>
        <w:t xml:space="preserve">No certification — </w:t>
      </w:r>
      <w:r>
        <w:t xml:space="preserve">PASS, RAI-PASS, and “Evidenced” are assurance signals, not attestations or regulatory compliance.</w:t>
      </w:r>
    </w:p>
    <w:p>
      <w:pPr>
        <w:pStyle w:val="ListParagraph"/>
        <w:numPr>
          <w:ilvl w:val="0"/>
          <w:numId w:val="2"/>
        </w:numPr>
        <w:spacing w:after="80" w:line="276"/>
      </w:pPr>
      <w:r>
        <w:rPr>
          <w:b/>
          <w:bCs/>
        </w:rPr>
        <w:t xml:space="preserve">Simulation-only live claims — </w:t>
      </w:r>
      <w:r>
        <w:t xml:space="preserve">Red-team and Responsible-AI figures from the core are static inferences labelled simulated; CONTROLLED LIVE stays disabled unless a genuine, approved, least-privileged adapter exists.</w:t>
      </w:r>
    </w:p>
    <w:p>
      <w:pPr>
        <w:pStyle w:val="ListParagraph"/>
        <w:numPr>
          <w:ilvl w:val="0"/>
          <w:numId w:val="2"/>
        </w:numPr>
        <w:spacing w:after="80" w:line="276"/>
      </w:pPr>
      <w:r>
        <w:rPr>
          <w:b/>
          <w:bCs/>
        </w:rPr>
        <w:t xml:space="preserve">Synthetic data only — </w:t>
      </w:r>
      <w:r>
        <w:t xml:space="preserve">All identities, targets, hostnames, and records in the repository are fictional; no secrets or customer data are included.</w:t>
      </w:r>
    </w:p>
    <w:p>
      <w:pPr>
        <w:pStyle w:val="ListParagraph"/>
        <w:numPr>
          <w:ilvl w:val="0"/>
          <w:numId w:val="2"/>
        </w:numPr>
        <w:spacing w:after="80" w:line="276"/>
      </w:pPr>
      <w:r>
        <w:rPr>
          <w:b/>
          <w:bCs/>
        </w:rPr>
        <w:t xml:space="preserve">Evidence honesty — </w:t>
      </w:r>
      <w:r>
        <w:t xml:space="preserve">Absent evidence is preserved as a coverage limitation and never inferred away.</w:t>
      </w:r>
    </w:p>
    <w:p>
      <w:pPr>
        <w:pStyle w:val="Heading1"/>
        <w:spacing w:after="160" w:before="320"/>
      </w:pPr>
      <w:r>
        <w:t xml:space="preserve">13. Engineering Quality &amp; Testing</w:t>
      </w:r>
    </w:p>
    <w:p>
      <w:pPr>
        <w:pStyle w:val="ListParagraph"/>
        <w:numPr>
          <w:ilvl w:val="0"/>
          <w:numId w:val="2"/>
        </w:numPr>
        <w:spacing w:after="80" w:line="276"/>
      </w:pPr>
      <w:r>
        <w:rPr>
          <w:b/>
          <w:bCs/>
        </w:rPr>
        <w:t xml:space="preserve">Synthetic, mock-backed test suite — </w:t>
      </w:r>
      <w:r>
        <w:t xml:space="preserve">188+ tests cover policy, evidence, approval, planning, validation, rendering, red-team, Responsible AI, compliance, and provenance behaviour.</w:t>
      </w:r>
    </w:p>
    <w:p>
      <w:pPr>
        <w:pStyle w:val="ListParagraph"/>
        <w:numPr>
          <w:ilvl w:val="0"/>
          <w:numId w:val="2"/>
        </w:numPr>
        <w:spacing w:after="80" w:line="276"/>
      </w:pPr>
      <w:r>
        <w:rPr>
          <w:b/>
          <w:bCs/>
        </w:rPr>
        <w:t xml:space="preserve">Determinism by design — </w:t>
      </w:r>
      <w:r>
        <w:t xml:space="preserve">The core makes no network calls, so verdicts are reproducible across machines and time.</w:t>
      </w:r>
    </w:p>
    <w:p>
      <w:pPr>
        <w:pStyle w:val="ListParagraph"/>
        <w:numPr>
          <w:ilvl w:val="0"/>
          <w:numId w:val="2"/>
        </w:numPr>
        <w:spacing w:after="80" w:line="276"/>
      </w:pPr>
      <w:r>
        <w:rPr>
          <w:b/>
          <w:bCs/>
        </w:rPr>
        <w:t xml:space="preserve">Explicit errors over silent fallbacks — </w:t>
      </w:r>
      <w:r>
        <w:t xml:space="preserve">The engine surfaces failures rather than hiding them; every outcome, including denials and failures, is recorded.</w:t>
      </w:r>
    </w:p>
    <w:p>
      <w:pPr>
        <w:pStyle w:val="ListParagraph"/>
        <w:numPr>
          <w:ilvl w:val="0"/>
          <w:numId w:val="2"/>
        </w:numPr>
        <w:spacing w:after="80" w:line="276"/>
      </w:pPr>
      <w:r>
        <w:rPr>
          <w:b/>
          <w:bCs/>
        </w:rPr>
        <w:t xml:space="preserve">Parity gates — </w:t>
      </w:r>
      <w:r>
        <w:t xml:space="preserve">Two HTML renderers are kept in lockstep, and an enrichment-parity CI gate keeps web and CLI reports identical.</w:t>
      </w:r>
    </w:p>
    <w:p>
      <w:pPr>
        <w:pStyle w:val="ListParagraph"/>
        <w:numPr>
          <w:ilvl w:val="0"/>
          <w:numId w:val="2"/>
        </w:numPr>
        <w:spacing w:after="80" w:line="276"/>
      </w:pPr>
      <w:r>
        <w:rPr>
          <w:b/>
          <w:bCs/>
        </w:rPr>
        <w:t xml:space="preserve">Guardrails as instructions — </w:t>
      </w:r>
      <w:r>
        <w:t xml:space="preserve">Repository-level instructions encode the hard boundaries so contributions preserve the separation and fail-closed properties.</w:t>
      </w:r>
    </w:p>
    <w:p>
      <w:pPr>
        <w:pStyle w:val="Heading1"/>
        <w:spacing w:after="160" w:before="320"/>
      </w:pPr>
      <w:r>
        <w:t xml:space="preserve">14. Roadmap — Toward Controlled Live</w:t>
      </w:r>
    </w:p>
    <w:p>
      <w:pPr>
        <w:spacing w:after="120" w:before="0" w:line="276"/>
      </w:pPr>
      <w:r>
        <w:t xml:space="preserve">The engine is intentionally offline today. The forward path is CONTROLLED LIVE: a production mode that remains disabled by default and unavailable until every protocol prerequisite is genuinely implemented and approved.</w:t>
      </w:r>
    </w:p>
    <w:p>
      <w:pPr>
        <w:pStyle w:val="ListParagraph"/>
        <w:numPr>
          <w:ilvl w:val="0"/>
          <w:numId w:val="2"/>
        </w:numPr>
        <w:spacing w:after="80" w:line="276"/>
      </w:pPr>
      <w:r>
        <w:rPr>
          <w:b/>
          <w:bCs/>
        </w:rPr>
        <w:t xml:space="preserve">Least-privileged, approved adapters — </w:t>
      </w:r>
      <w:r>
        <w:t xml:space="preserve">Real connectors gated behind explicit requirements, authentication, and allowlists.</w:t>
      </w:r>
    </w:p>
    <w:p>
      <w:pPr>
        <w:pStyle w:val="ListParagraph"/>
        <w:numPr>
          <w:ilvl w:val="0"/>
          <w:numId w:val="2"/>
        </w:numPr>
        <w:spacing w:after="80" w:line="276"/>
      </w:pPr>
      <w:r>
        <w:rPr>
          <w:b/>
          <w:bCs/>
        </w:rPr>
        <w:t xml:space="preserve">Approval binding end-to-end — </w:t>
      </w:r>
      <w:r>
        <w:t xml:space="preserve">Live approvals bound to requester, action, plan hash, and expiry, with a kill switch.</w:t>
      </w:r>
    </w:p>
    <w:p>
      <w:pPr>
        <w:pStyle w:val="ListParagraph"/>
        <w:numPr>
          <w:ilvl w:val="0"/>
          <w:numId w:val="2"/>
        </w:numPr>
        <w:spacing w:after="80" w:line="276"/>
      </w:pPr>
      <w:r>
        <w:rPr>
          <w:b/>
          <w:bCs/>
        </w:rPr>
        <w:t xml:space="preserve">Monitoring, timeout handling &amp; rollback — </w:t>
      </w:r>
      <w:r>
        <w:t xml:space="preserve">Operational safety controls required before any live action.</w:t>
      </w:r>
    </w:p>
    <w:p>
      <w:pPr>
        <w:pStyle w:val="ListParagraph"/>
        <w:numPr>
          <w:ilvl w:val="0"/>
          <w:numId w:val="2"/>
        </w:numPr>
        <w:spacing w:after="80" w:line="276"/>
      </w:pPr>
      <w:r>
        <w:rPr>
          <w:b/>
          <w:bCs/>
        </w:rPr>
        <w:t xml:space="preserve">Measured live signals — </w:t>
      </w:r>
      <w:r>
        <w:t xml:space="preserve">Graduating red-team, content-safety, and fairness from static inference to measured results in the isolated live lane.</w:t>
      </w:r>
    </w:p>
    <w:p>
      <w:pPr>
        <w:pStyle w:val="Heading1"/>
        <w:spacing w:after="160" w:before="320"/>
      </w:pPr>
      <w:r>
        <w:t xml:space="preserve">15. Conclusion</w:t>
      </w:r>
    </w:p>
    <w:p>
      <w:pPr>
        <w:spacing w:after="120" w:before="0" w:line="276"/>
      </w:pPr>
      <w:r>
        <w:t xml:space="preserve">Autonomous agents are becoming coworkers that act on real systems. AgentShield AI gives organisations the missing control plane: a deterministic, fail-closed pipeline that predicts impact, governs actions, routes human approval, bounds execution, validates outcomes, and preserves evidence — while keeping assurance and authorization strictly apart and never letting a model grant permission. It pairs that rigour with an honest reporting surface: provenance-weighted evidence, advisory compliance mapping, adversarial coverage, Responsible-AI posture, and a measured efficiency layer that never touches a decision. The result is not a promise of safety, but something more useful: demonstrable, auditable control over what an agent is allowed to do.</w:t>
      </w:r>
    </w:p>
    <w:p>
      <w:pPr>
        <w:spacing w:after="160"/>
      </w:pPr>
      <w:r>
        <w:t xml:space="preserve"/>
      </w:r>
    </w:p>
    <w:p>
      <w:pPr>
        <w:pBdr>
          <w:top w:val="single" w:color="5B3E9B" w:sz="6" w:space="6"/>
        </w:pBdr>
        <w:spacing w:before="200"/>
        <w:jc w:val="center"/>
      </w:pPr>
      <w:r>
        <w:rPr>
          <w:i/>
          <w:iCs/>
          <w:color w:val="5A5A5A"/>
        </w:rPr>
        <w:t xml:space="preserve">AgentShield AI — Predict. Govern. Approve. Execute Safely.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F" w:sz="4" w:space="4"/>
      </w:pBdr>
      <w:tabs>
        <w:tab w:val="right" w:pos="9360"/>
      </w:tabs>
    </w:pPr>
    <w:r>
      <w:rPr>
        <w:color w:val="5A5A5A"/>
        <w:sz w:val="16"/>
        <w:szCs w:val="16"/>
      </w:rPr>
      <w:t xml:space="preserve">Confidential — assurance &amp; governance support, not certification</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color w:val="5A5A5A"/>
        <w:sz w:val="16"/>
        <w:szCs w:val="16"/>
      </w:rPr>
      <w:t xml:space="preserve">AgentShield AI  —  Comprehensive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C4E80" w:sz="6" w:space="4"/>
      </w:pBdr>
      <w:spacing w:after="160" w:before="32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C4E8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AgentShield AI — Comprehensive Project Report</dc:title>
  <dc:creator>AgentShield AI</dc:creator>
  <cp:lastModifiedBy>Un-named</cp:lastModifiedBy>
  <cp:revision>1</cp:revision>
  <dcterms:created xsi:type="dcterms:W3CDTF">2026-09-08T05:05:27.469Z</dcterms:created>
  <dcterms:modified xsi:type="dcterms:W3CDTF">2026-09-08T05:05:27.471Z</dcterms:modified>
</cp:coreProperties>
</file>

<file path=docProps/custom.xml><?xml version="1.0" encoding="utf-8"?>
<Properties xmlns="http://schemas.openxmlformats.org/officeDocument/2006/custom-properties" xmlns:vt="http://schemas.openxmlformats.org/officeDocument/2006/docPropsVTypes"/>
</file>