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rFonts w:ascii="Calibri" w:cs="Calibri" w:eastAsia="Calibri" w:hAnsi="Calibri"/>
          <w:b/>
          <w:bCs/>
          <w:color w:val="0A2647"/>
          <w:spacing w:val="20"/>
          <w:sz w:val="30"/>
          <w:szCs w:val="30"/>
        </w:rPr>
        <w:t xml:space="preserve">VERIDIAN BANK</w:t>
      </w:r>
    </w:p>
    <w:p>
      <w:pPr>
        <w:spacing w:after="600"/>
        <w:jc w:val="center"/>
      </w:pPr>
      <w:r>
        <w:rPr>
          <w:i/>
          <w:iCs/>
          <w:color w:val="B8860B"/>
          <w:sz w:val="22"/>
          <w:szCs w:val="22"/>
        </w:rPr>
        <w:t xml:space="preserve">SentinelAI Fraud Detection Platform</w:t>
      </w:r>
    </w:p>
    <w:p>
      <w:pPr>
        <w:spacing w:after="100" w:before="200"/>
        <w:jc w:val="center"/>
      </w:pPr>
      <w:r>
        <w:rPr>
          <w:b/>
          <w:bCs/>
          <w:color w:val="B8860B"/>
          <w:spacing w:val="30"/>
          <w:sz w:val="20"/>
          <w:szCs w:val="20"/>
        </w:rPr>
        <w:t xml:space="preserve">BUSINESS REQUIREMENTS DOCUMENT</w:t>
      </w:r>
    </w:p>
    <w:p>
      <w:pPr>
        <w:spacing w:after="700"/>
        <w:jc w:val="center"/>
      </w:pPr>
      <w:r>
        <w:rPr>
          <w:b/>
          <w:bCs/>
          <w:color w:val="0A2647"/>
          <w:sz w:val="44"/>
          <w:szCs w:val="44"/>
        </w:rPr>
        <w:t xml:space="preserve">SentinelAI Fraud Detection Platform</w:t>
      </w:r>
    </w:p>
    <w:p>
      <w:pPr>
        <w:spacing w:after="900"/>
        <w:jc w:val="center"/>
      </w:pPr>
      <w:r>
        <w:rPr>
          <w:color w:val="1A1A1A"/>
          <w:sz w:val="24"/>
          <w:szCs w:val="24"/>
        </w:rPr>
        <w:t xml:space="preserve">Business Requirements – Real-Time Card Fraud Detection</w:t>
      </w:r>
    </w:p>
    <w:tbl>
      <w:tblPr>
        <w:tblW w:type="dxa" w:w="85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5500"/>
      </w:tblGrid>
      <w:tr>
        <w:tc>
          <w:tcPr>
            <w:tcW w:type="dxa" w:w="3000"/>
            <w:tcBorders>
              <w:top w:val="none" w:color="FFFFFF" w:sz="0"/>
              <w:left w:val="none" w:color="FFFFFF" w:sz="0"/>
              <w:bottom w:val="none" w:color="FFFFFF" w:sz="0"/>
              <w:right w:val="none" w:color="FFFFFF" w:sz="0"/>
            </w:tcBorders>
          </w:tcPr>
          <w:p>
            <w:r>
              <w:rPr>
                <w:b/>
                <w:bCs/>
                <w:color w:val="0A2647"/>
                <w:sz w:val="20"/>
                <w:szCs w:val="20"/>
              </w:rPr>
              <w:t xml:space="preserve">Document Owner:</w:t>
            </w:r>
          </w:p>
        </w:tc>
        <w:tc>
          <w:tcPr>
            <w:tcW w:type="dxa" w:w="5500"/>
            <w:tcBorders>
              <w:top w:val="none" w:color="FFFFFF" w:sz="0"/>
              <w:left w:val="none" w:color="FFFFFF" w:sz="0"/>
              <w:bottom w:val="none" w:color="FFFFFF" w:sz="0"/>
              <w:right w:val="none" w:color="FFFFFF" w:sz="0"/>
            </w:tcBorders>
          </w:tcPr>
          <w:p>
            <w:r>
              <w:rPr>
                <w:sz w:val="20"/>
                <w:szCs w:val="20"/>
              </w:rPr>
              <w:t xml:space="preserve">Mautik Patel, Project Delivery Manager</w:t>
            </w:r>
          </w:p>
        </w:tc>
      </w:tr>
      <w:tr>
        <w:tc>
          <w:tcPr>
            <w:tcW w:type="dxa" w:w="3000"/>
            <w:tcBorders>
              <w:top w:val="none" w:color="FFFFFF" w:sz="0"/>
              <w:left w:val="none" w:color="FFFFFF" w:sz="0"/>
              <w:bottom w:val="none" w:color="FFFFFF" w:sz="0"/>
              <w:right w:val="none" w:color="FFFFFF" w:sz="0"/>
            </w:tcBorders>
          </w:tcPr>
          <w:p>
            <w:r>
              <w:rPr>
                <w:b/>
                <w:bCs/>
                <w:color w:val="0A2647"/>
                <w:sz w:val="20"/>
                <w:szCs w:val="20"/>
              </w:rPr>
              <w:t xml:space="preserve">Business Owner:</w:t>
            </w:r>
          </w:p>
        </w:tc>
        <w:tc>
          <w:tcPr>
            <w:tcW w:type="dxa" w:w="5500"/>
            <w:tcBorders>
              <w:top w:val="none" w:color="FFFFFF" w:sz="0"/>
              <w:left w:val="none" w:color="FFFFFF" w:sz="0"/>
              <w:bottom w:val="none" w:color="FFFFFF" w:sz="0"/>
              <w:right w:val="none" w:color="FFFFFF" w:sz="0"/>
            </w:tcBorders>
          </w:tcPr>
          <w:p>
            <w:r>
              <w:rPr>
                <w:sz w:val="20"/>
                <w:szCs w:val="20"/>
              </w:rPr>
              <w:t xml:space="preserve">David Okonjo, Head of Fraud Operations</w:t>
            </w:r>
          </w:p>
        </w:tc>
      </w:tr>
      <w:tr>
        <w:tc>
          <w:tcPr>
            <w:tcW w:type="dxa" w:w="3000"/>
            <w:tcBorders>
              <w:top w:val="none" w:color="FFFFFF" w:sz="0"/>
              <w:left w:val="none" w:color="FFFFFF" w:sz="0"/>
              <w:bottom w:val="none" w:color="FFFFFF" w:sz="0"/>
              <w:right w:val="none" w:color="FFFFFF" w:sz="0"/>
            </w:tcBorders>
          </w:tcPr>
          <w:p>
            <w:r>
              <w:rPr>
                <w:b/>
                <w:bCs/>
                <w:color w:val="0A2647"/>
                <w:sz w:val="20"/>
                <w:szCs w:val="20"/>
              </w:rPr>
              <w:t xml:space="preserve">Version:</w:t>
            </w:r>
          </w:p>
        </w:tc>
        <w:tc>
          <w:tcPr>
            <w:tcW w:type="dxa" w:w="5500"/>
            <w:tcBorders>
              <w:top w:val="none" w:color="FFFFFF" w:sz="0"/>
              <w:left w:val="none" w:color="FFFFFF" w:sz="0"/>
              <w:bottom w:val="none" w:color="FFFFFF" w:sz="0"/>
              <w:right w:val="none" w:color="FFFFFF" w:sz="0"/>
            </w:tcBorders>
          </w:tcPr>
          <w:p>
            <w:r>
              <w:rPr>
                <w:sz w:val="20"/>
                <w:szCs w:val="20"/>
              </w:rPr>
              <w:t xml:space="preserve">1.2 (Approved)</w:t>
            </w:r>
          </w:p>
        </w:tc>
      </w:tr>
      <w:tr>
        <w:tc>
          <w:tcPr>
            <w:tcW w:type="dxa" w:w="3000"/>
            <w:tcBorders>
              <w:top w:val="none" w:color="FFFFFF" w:sz="0"/>
              <w:left w:val="none" w:color="FFFFFF" w:sz="0"/>
              <w:bottom w:val="none" w:color="FFFFFF" w:sz="0"/>
              <w:right w:val="none" w:color="FFFFFF" w:sz="0"/>
            </w:tcBorders>
          </w:tcPr>
          <w:p>
            <w:r>
              <w:rPr>
                <w:b/>
                <w:bCs/>
                <w:color w:val="0A2647"/>
                <w:sz w:val="20"/>
                <w:szCs w:val="20"/>
              </w:rPr>
              <w:t xml:space="preserve">Date:</w:t>
            </w:r>
          </w:p>
        </w:tc>
        <w:tc>
          <w:tcPr>
            <w:tcW w:type="dxa" w:w="5500"/>
            <w:tcBorders>
              <w:top w:val="none" w:color="FFFFFF" w:sz="0"/>
              <w:left w:val="none" w:color="FFFFFF" w:sz="0"/>
              <w:bottom w:val="none" w:color="FFFFFF" w:sz="0"/>
              <w:right w:val="none" w:color="FFFFFF" w:sz="0"/>
            </w:tcBorders>
          </w:tcPr>
          <w:p>
            <w:r>
              <w:rPr>
                <w:sz w:val="20"/>
                <w:szCs w:val="20"/>
              </w:rPr>
              <w:t xml:space="preserve">February 3, 2026</w:t>
            </w:r>
          </w:p>
        </w:tc>
      </w:tr>
      <w:tr>
        <w:tc>
          <w:tcPr>
            <w:tcW w:type="dxa" w:w="3000"/>
            <w:tcBorders>
              <w:top w:val="none" w:color="FFFFFF" w:sz="0"/>
              <w:left w:val="none" w:color="FFFFFF" w:sz="0"/>
              <w:bottom w:val="none" w:color="FFFFFF" w:sz="0"/>
              <w:right w:val="none" w:color="FFFFFF" w:sz="0"/>
            </w:tcBorders>
          </w:tcPr>
          <w:p>
            <w:r>
              <w:rPr>
                <w:b/>
                <w:bCs/>
                <w:color w:val="0A2647"/>
                <w:sz w:val="20"/>
                <w:szCs w:val="20"/>
              </w:rPr>
              <w:t xml:space="preserve">Related Document:</w:t>
            </w:r>
          </w:p>
        </w:tc>
        <w:tc>
          <w:tcPr>
            <w:tcW w:type="dxa" w:w="5500"/>
            <w:tcBorders>
              <w:top w:val="none" w:color="FFFFFF" w:sz="0"/>
              <w:left w:val="none" w:color="FFFFFF" w:sz="0"/>
              <w:bottom w:val="none" w:color="FFFFFF" w:sz="0"/>
              <w:right w:val="none" w:color="FFFFFF" w:sz="0"/>
            </w:tcBorders>
          </w:tcPr>
          <w:p>
            <w:r>
              <w:rPr>
                <w:sz w:val="20"/>
                <w:szCs w:val="20"/>
              </w:rPr>
              <w:t xml:space="preserve">Project Charter v1.0</w:t>
            </w:r>
          </w:p>
        </w:tc>
      </w:tr>
    </w:tbl>
    <w:p>
      <w:r>
        <w:br w:type="page"/>
      </w:r>
    </w:p>
    <w:p>
      <w:pPr>
        <w:sectPr>
          <w:pgSz w:w="12240" w:h="15840" w:orient="portrait"/>
          <w:pgMar w:top="1080" w:right="1080" w:bottom="1080" w:left="1080" w:header="708" w:footer="708" w:gutter="0"/>
          <w:pgNumType/>
          <w:docGrid w:linePitch="360"/>
        </w:sectPr>
      </w:pPr>
    </w:p>
    <w:p>
      <w:pPr>
        <w:pStyle w:val="Heading1"/>
      </w:pPr>
      <w:r>
        <w:t xml:space="preserve">1. Introduction</w:t>
      </w:r>
    </w:p>
    <w:p>
      <w:pPr>
        <w:spacing w:after="160"/>
      </w:pPr>
      <w:r>
        <w:t xml:space="preserve">This Business Requirements Document (BRD) captures the business needs driving the SentinelAI Fraud Detection Platform and translates the objectives in the Project Charter into requirements that the solution must satisfy. It is the baseline for the Functional Requirements Document (FRD) and for UAT test case design.</w:t>
      </w:r>
    </w:p>
    <w:p>
      <w:pPr>
        <w:pStyle w:val="Heading1"/>
      </w:pPr>
      <w:r>
        <w:t xml:space="preserve">2. Business Background</w:t>
      </w:r>
    </w:p>
    <w:p>
      <w:pPr>
        <w:spacing w:after="160"/>
      </w:pPr>
      <w:r>
        <w:t xml:space="preserve">Fraud Operations currently reviews approximately 9,000 flagged transactions per day, of which fewer than 15% are confirmed fraud. Analysts report escalating alert fatigue, and the false-decline rate is now a top-5 driver of card attrition per the Q4 2025 Customer Experience survey. The business requires a fraud detection capability that materially improves both loss prevention and the customer experience simultaneously.</w:t>
      </w:r>
    </w:p>
    <w:p>
      <w:pPr>
        <w:pStyle w:val="Heading1"/>
      </w:pPr>
      <w:r>
        <w:t xml:space="preserve">3. Business Requirements</w:t>
      </w:r>
    </w:p>
    <w:p>
      <w:pPr>
        <w:pStyle w:val="Heading2"/>
      </w:pPr>
      <w:r>
        <w:t xml:space="preserve">3.1 Fraud Detection &amp; Scoring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5300"/>
        <w:gridCol w:w="1700"/>
        <w:gridCol w:w="1000"/>
      </w:tblGrid>
      <w:tr>
        <w:trPr>
          <w:tblHeader/>
        </w:trPr>
        <w:tc>
          <w:tcPr>
            <w:tcW w:type="dxa" w:w="1000"/>
            <w:tcBorders>
              <w:top w:val="single" w:color="D9D9D9" w:sz="4"/>
              <w:left w:val="single" w:color="D9D9D9" w:sz="4"/>
              <w:bottom w:val="single" w:color="D9D9D9" w:sz="4"/>
              <w:right w:val="single" w:color="D9D9D9" w:sz="4"/>
            </w:tcBorders>
            <w:shd w:fill="0A2647" w:color="auto" w:val="clear"/>
            <w:tcMar>
              <w:top w:type="dxa" w:w="80"/>
              <w:left w:type="dxa" w:w="120"/>
              <w:bottom w:type="dxa" w:w="80"/>
              <w:right w:type="dxa" w:w="120"/>
            </w:tcMar>
            <w:vAlign w:val="center"/>
          </w:tcPr>
          <w:p>
            <w:pPr>
              <w:jc w:val="left"/>
            </w:pPr>
            <w:r>
              <w:rPr>
                <w:b/>
                <w:bCs/>
                <w:color w:val="FFFFFF"/>
                <w:sz w:val="20"/>
                <w:szCs w:val="20"/>
              </w:rPr>
              <w:t xml:space="preserve">ID</w:t>
            </w:r>
          </w:p>
        </w:tc>
        <w:tc>
          <w:tcPr>
            <w:tcW w:type="dxa" w:w="5300"/>
            <w:tcBorders>
              <w:top w:val="single" w:color="D9D9D9" w:sz="4"/>
              <w:left w:val="single" w:color="D9D9D9" w:sz="4"/>
              <w:bottom w:val="single" w:color="D9D9D9" w:sz="4"/>
              <w:right w:val="single" w:color="D9D9D9" w:sz="4"/>
            </w:tcBorders>
            <w:shd w:fill="0A2647" w:color="auto" w:val="clear"/>
            <w:tcMar>
              <w:top w:type="dxa" w:w="80"/>
              <w:left w:type="dxa" w:w="120"/>
              <w:bottom w:type="dxa" w:w="80"/>
              <w:right w:type="dxa" w:w="120"/>
            </w:tcMar>
            <w:vAlign w:val="center"/>
          </w:tcPr>
          <w:p>
            <w:pPr>
              <w:jc w:val="left"/>
            </w:pPr>
            <w:r>
              <w:rPr>
                <w:b/>
                <w:bCs/>
                <w:color w:val="FFFFFF"/>
                <w:sz w:val="20"/>
                <w:szCs w:val="20"/>
              </w:rPr>
              <w:t xml:space="preserve">Requirement</w:t>
            </w:r>
          </w:p>
        </w:tc>
        <w:tc>
          <w:tcPr>
            <w:tcW w:type="dxa" w:w="1700"/>
            <w:tcBorders>
              <w:top w:val="single" w:color="D9D9D9" w:sz="4"/>
              <w:left w:val="single" w:color="D9D9D9" w:sz="4"/>
              <w:bottom w:val="single" w:color="D9D9D9" w:sz="4"/>
              <w:right w:val="single" w:color="D9D9D9" w:sz="4"/>
            </w:tcBorders>
            <w:shd w:fill="0A2647" w:color="auto" w:val="clear"/>
            <w:tcMar>
              <w:top w:type="dxa" w:w="80"/>
              <w:left w:type="dxa" w:w="120"/>
              <w:bottom w:type="dxa" w:w="80"/>
              <w:right w:type="dxa" w:w="120"/>
            </w:tcMar>
            <w:vAlign w:val="center"/>
          </w:tcPr>
          <w:p>
            <w:pPr>
              <w:jc w:val="left"/>
            </w:pPr>
            <w:r>
              <w:rPr>
                <w:b/>
                <w:bCs/>
                <w:color w:val="FFFFFF"/>
                <w:sz w:val="20"/>
                <w:szCs w:val="20"/>
              </w:rPr>
              <w:t xml:space="preserve">Priority</w:t>
            </w:r>
          </w:p>
        </w:tc>
        <w:tc>
          <w:tcPr>
            <w:tcW w:type="dxa" w:w="1000"/>
            <w:tcBorders>
              <w:top w:val="single" w:color="D9D9D9" w:sz="4"/>
              <w:left w:val="single" w:color="D9D9D9" w:sz="4"/>
              <w:bottom w:val="single" w:color="D9D9D9" w:sz="4"/>
              <w:right w:val="single" w:color="D9D9D9" w:sz="4"/>
            </w:tcBorders>
            <w:shd w:fill="0A2647" w:color="auto" w:val="clear"/>
            <w:tcMar>
              <w:top w:type="dxa" w:w="80"/>
              <w:left w:type="dxa" w:w="120"/>
              <w:bottom w:type="dxa" w:w="80"/>
              <w:right w:type="dxa" w:w="120"/>
            </w:tcMar>
            <w:vAlign w:val="center"/>
          </w:tcPr>
          <w:p>
            <w:pPr>
              <w:jc w:val="left"/>
            </w:pPr>
            <w:r>
              <w:rPr>
                <w:b/>
                <w:bCs/>
                <w:color w:val="FFFFFF"/>
                <w:sz w:val="20"/>
                <w:szCs w:val="20"/>
              </w:rPr>
              <w:t xml:space="preserve">Source</w:t>
            </w:r>
          </w:p>
        </w:tc>
      </w:tr>
      <w:tr>
        <w:tc>
          <w:tcPr>
            <w:tcW w:type="dxa" w:w="1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BR-01</w:t>
            </w:r>
          </w:p>
        </w:tc>
        <w:tc>
          <w:tcPr>
            <w:tcW w:type="dxa" w:w="53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The system shall generate a real-time fraud risk score (0–999) for every card-present and card-not-present transaction prior to authorization.</w:t>
            </w:r>
          </w:p>
        </w:tc>
        <w:tc>
          <w:tcPr>
            <w:tcW w:type="dxa" w:w="17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Must</w:t>
            </w:r>
          </w:p>
        </w:tc>
        <w:tc>
          <w:tcPr>
            <w:tcW w:type="dxa" w:w="1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Fraud Ops</w:t>
            </w:r>
          </w:p>
        </w:tc>
      </w:tr>
      <w:tr>
        <w:tc>
          <w:tcPr>
            <w:tcW w:type="dxa" w:w="1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BR-02</w:t>
            </w:r>
          </w:p>
        </w:tc>
        <w:tc>
          <w:tcPr>
            <w:tcW w:type="dxa" w:w="53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The system shall return a fraud score within 200ms at the 95th percentile to avoid impacting authorization SLAs.</w:t>
            </w:r>
          </w:p>
        </w:tc>
        <w:tc>
          <w:tcPr>
            <w:tcW w:type="dxa" w:w="17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Must</w:t>
            </w:r>
          </w:p>
        </w:tc>
        <w:tc>
          <w:tcPr>
            <w:tcW w:type="dxa" w:w="1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Card Payments</w:t>
            </w:r>
          </w:p>
        </w:tc>
      </w:tr>
      <w:tr>
        <w:tc>
          <w:tcPr>
            <w:tcW w:type="dxa" w:w="1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BR-03</w:t>
            </w:r>
          </w:p>
        </w:tc>
        <w:tc>
          <w:tcPr>
            <w:tcW w:type="dxa" w:w="53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The system shall support configurable score thresholds per card product and merchant category code (MCC).</w:t>
            </w:r>
          </w:p>
        </w:tc>
        <w:tc>
          <w:tcPr>
            <w:tcW w:type="dxa" w:w="17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Must</w:t>
            </w:r>
          </w:p>
        </w:tc>
        <w:tc>
          <w:tcPr>
            <w:tcW w:type="dxa" w:w="1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Fraud Ops</w:t>
            </w:r>
          </w:p>
        </w:tc>
      </w:tr>
      <w:tr>
        <w:tc>
          <w:tcPr>
            <w:tcW w:type="dxa" w:w="1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BR-04</w:t>
            </w:r>
          </w:p>
        </w:tc>
        <w:tc>
          <w:tcPr>
            <w:tcW w:type="dxa" w:w="53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The system shall incorporate device, geolocation, and behavioral biometrics signals where available.</w:t>
            </w:r>
          </w:p>
        </w:tc>
        <w:tc>
          <w:tcPr>
            <w:tcW w:type="dxa" w:w="17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Should</w:t>
            </w:r>
          </w:p>
        </w:tc>
        <w:tc>
          <w:tcPr>
            <w:tcW w:type="dxa" w:w="1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Data Science</w:t>
            </w:r>
          </w:p>
        </w:tc>
      </w:tr>
      <w:tr>
        <w:tc>
          <w:tcPr>
            <w:tcW w:type="dxa" w:w="1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BR-05</w:t>
            </w:r>
          </w:p>
        </w:tc>
        <w:tc>
          <w:tcPr>
            <w:tcW w:type="dxa" w:w="53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The system shall reduce the false-positive decline rate to 4.0% or lower.</w:t>
            </w:r>
          </w:p>
        </w:tc>
        <w:tc>
          <w:tcPr>
            <w:tcW w:type="dxa" w:w="17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Must</w:t>
            </w:r>
          </w:p>
        </w:tc>
        <w:tc>
          <w:tcPr>
            <w:tcW w:type="dxa" w:w="1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CRO</w:t>
            </w:r>
          </w:p>
        </w:tc>
      </w:tr>
    </w:tbl>
    <w:p>
      <w:pPr>
        <w:pStyle w:val="Heading2"/>
      </w:pPr>
      <w:r>
        <w:t xml:space="preserve">3.2 Case Management &amp; Analyst Workflow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5300"/>
        <w:gridCol w:w="1700"/>
        <w:gridCol w:w="1000"/>
      </w:tblGrid>
      <w:tr>
        <w:trPr>
          <w:tblHeader/>
        </w:trPr>
        <w:tc>
          <w:tcPr>
            <w:tcW w:type="dxa" w:w="1000"/>
            <w:tcBorders>
              <w:top w:val="single" w:color="D9D9D9" w:sz="4"/>
              <w:left w:val="single" w:color="D9D9D9" w:sz="4"/>
              <w:bottom w:val="single" w:color="D9D9D9" w:sz="4"/>
              <w:right w:val="single" w:color="D9D9D9" w:sz="4"/>
            </w:tcBorders>
            <w:shd w:fill="0A2647" w:color="auto" w:val="clear"/>
            <w:tcMar>
              <w:top w:type="dxa" w:w="80"/>
              <w:left w:type="dxa" w:w="120"/>
              <w:bottom w:type="dxa" w:w="80"/>
              <w:right w:type="dxa" w:w="120"/>
            </w:tcMar>
            <w:vAlign w:val="center"/>
          </w:tcPr>
          <w:p>
            <w:pPr>
              <w:jc w:val="left"/>
            </w:pPr>
            <w:r>
              <w:rPr>
                <w:b/>
                <w:bCs/>
                <w:color w:val="FFFFFF"/>
                <w:sz w:val="20"/>
                <w:szCs w:val="20"/>
              </w:rPr>
              <w:t xml:space="preserve">ID</w:t>
            </w:r>
          </w:p>
        </w:tc>
        <w:tc>
          <w:tcPr>
            <w:tcW w:type="dxa" w:w="5300"/>
            <w:tcBorders>
              <w:top w:val="single" w:color="D9D9D9" w:sz="4"/>
              <w:left w:val="single" w:color="D9D9D9" w:sz="4"/>
              <w:bottom w:val="single" w:color="D9D9D9" w:sz="4"/>
              <w:right w:val="single" w:color="D9D9D9" w:sz="4"/>
            </w:tcBorders>
            <w:shd w:fill="0A2647" w:color="auto" w:val="clear"/>
            <w:tcMar>
              <w:top w:type="dxa" w:w="80"/>
              <w:left w:type="dxa" w:w="120"/>
              <w:bottom w:type="dxa" w:w="80"/>
              <w:right w:type="dxa" w:w="120"/>
            </w:tcMar>
            <w:vAlign w:val="center"/>
          </w:tcPr>
          <w:p>
            <w:pPr>
              <w:jc w:val="left"/>
            </w:pPr>
            <w:r>
              <w:rPr>
                <w:b/>
                <w:bCs/>
                <w:color w:val="FFFFFF"/>
                <w:sz w:val="20"/>
                <w:szCs w:val="20"/>
              </w:rPr>
              <w:t xml:space="preserve">Requirement</w:t>
            </w:r>
          </w:p>
        </w:tc>
        <w:tc>
          <w:tcPr>
            <w:tcW w:type="dxa" w:w="1700"/>
            <w:tcBorders>
              <w:top w:val="single" w:color="D9D9D9" w:sz="4"/>
              <w:left w:val="single" w:color="D9D9D9" w:sz="4"/>
              <w:bottom w:val="single" w:color="D9D9D9" w:sz="4"/>
              <w:right w:val="single" w:color="D9D9D9" w:sz="4"/>
            </w:tcBorders>
            <w:shd w:fill="0A2647" w:color="auto" w:val="clear"/>
            <w:tcMar>
              <w:top w:type="dxa" w:w="80"/>
              <w:left w:type="dxa" w:w="120"/>
              <w:bottom w:type="dxa" w:w="80"/>
              <w:right w:type="dxa" w:w="120"/>
            </w:tcMar>
            <w:vAlign w:val="center"/>
          </w:tcPr>
          <w:p>
            <w:pPr>
              <w:jc w:val="left"/>
            </w:pPr>
            <w:r>
              <w:rPr>
                <w:b/>
                <w:bCs/>
                <w:color w:val="FFFFFF"/>
                <w:sz w:val="20"/>
                <w:szCs w:val="20"/>
              </w:rPr>
              <w:t xml:space="preserve">Priority</w:t>
            </w:r>
          </w:p>
        </w:tc>
        <w:tc>
          <w:tcPr>
            <w:tcW w:type="dxa" w:w="1000"/>
            <w:tcBorders>
              <w:top w:val="single" w:color="D9D9D9" w:sz="4"/>
              <w:left w:val="single" w:color="D9D9D9" w:sz="4"/>
              <w:bottom w:val="single" w:color="D9D9D9" w:sz="4"/>
              <w:right w:val="single" w:color="D9D9D9" w:sz="4"/>
            </w:tcBorders>
            <w:shd w:fill="0A2647" w:color="auto" w:val="clear"/>
            <w:tcMar>
              <w:top w:type="dxa" w:w="80"/>
              <w:left w:type="dxa" w:w="120"/>
              <w:bottom w:type="dxa" w:w="80"/>
              <w:right w:type="dxa" w:w="120"/>
            </w:tcMar>
            <w:vAlign w:val="center"/>
          </w:tcPr>
          <w:p>
            <w:pPr>
              <w:jc w:val="left"/>
            </w:pPr>
            <w:r>
              <w:rPr>
                <w:b/>
                <w:bCs/>
                <w:color w:val="FFFFFF"/>
                <w:sz w:val="20"/>
                <w:szCs w:val="20"/>
              </w:rPr>
              <w:t xml:space="preserve">Source</w:t>
            </w:r>
          </w:p>
        </w:tc>
      </w:tr>
      <w:tr>
        <w:tc>
          <w:tcPr>
            <w:tcW w:type="dxa" w:w="1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BR-06</w:t>
            </w:r>
          </w:p>
        </w:tc>
        <w:tc>
          <w:tcPr>
            <w:tcW w:type="dxa" w:w="53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The system shall auto-generate a case in the existing case management tool for any transaction scoring above the configured threshold.</w:t>
            </w:r>
          </w:p>
        </w:tc>
        <w:tc>
          <w:tcPr>
            <w:tcW w:type="dxa" w:w="17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Must</w:t>
            </w:r>
          </w:p>
        </w:tc>
        <w:tc>
          <w:tcPr>
            <w:tcW w:type="dxa" w:w="1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Fraud Ops</w:t>
            </w:r>
          </w:p>
        </w:tc>
      </w:tr>
      <w:tr>
        <w:tc>
          <w:tcPr>
            <w:tcW w:type="dxa" w:w="1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BR-07</w:t>
            </w:r>
          </w:p>
        </w:tc>
        <w:tc>
          <w:tcPr>
            <w:tcW w:type="dxa" w:w="53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The system shall provide top-5 contributing reason codes for every generated case to support analyst review.</w:t>
            </w:r>
          </w:p>
        </w:tc>
        <w:tc>
          <w:tcPr>
            <w:tcW w:type="dxa" w:w="17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Must</w:t>
            </w:r>
          </w:p>
        </w:tc>
        <w:tc>
          <w:tcPr>
            <w:tcW w:type="dxa" w:w="1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Fraud Ops / Compliance</w:t>
            </w:r>
          </w:p>
        </w:tc>
      </w:tr>
      <w:tr>
        <w:tc>
          <w:tcPr>
            <w:tcW w:type="dxa" w:w="1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BR-08</w:t>
            </w:r>
          </w:p>
        </w:tc>
        <w:tc>
          <w:tcPr>
            <w:tcW w:type="dxa" w:w="53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The system shall allow analysts to submit case dispositions that feed back into model retraining datasets.</w:t>
            </w:r>
          </w:p>
        </w:tc>
        <w:tc>
          <w:tcPr>
            <w:tcW w:type="dxa" w:w="17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Should</w:t>
            </w:r>
          </w:p>
        </w:tc>
        <w:tc>
          <w:tcPr>
            <w:tcW w:type="dxa" w:w="1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Data Science</w:t>
            </w:r>
          </w:p>
        </w:tc>
      </w:tr>
      <w:tr>
        <w:tc>
          <w:tcPr>
            <w:tcW w:type="dxa" w:w="1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BR-09</w:t>
            </w:r>
          </w:p>
        </w:tc>
        <w:tc>
          <w:tcPr>
            <w:tcW w:type="dxa" w:w="53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The system shall reduce manual case review volume by at least 30% within 90 days of go-live.</w:t>
            </w:r>
          </w:p>
        </w:tc>
        <w:tc>
          <w:tcPr>
            <w:tcW w:type="dxa" w:w="17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Should</w:t>
            </w:r>
          </w:p>
        </w:tc>
        <w:tc>
          <w:tcPr>
            <w:tcW w:type="dxa" w:w="1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CRO</w:t>
            </w:r>
          </w:p>
        </w:tc>
      </w:tr>
    </w:tbl>
    <w:p>
      <w:pPr>
        <w:pStyle w:val="Heading2"/>
      </w:pPr>
      <w:r>
        <w:t xml:space="preserve">3.3 Regulatory &amp; Governance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5300"/>
        <w:gridCol w:w="1700"/>
        <w:gridCol w:w="1000"/>
      </w:tblGrid>
      <w:tr>
        <w:trPr>
          <w:tblHeader/>
        </w:trPr>
        <w:tc>
          <w:tcPr>
            <w:tcW w:type="dxa" w:w="1000"/>
            <w:tcBorders>
              <w:top w:val="single" w:color="D9D9D9" w:sz="4"/>
              <w:left w:val="single" w:color="D9D9D9" w:sz="4"/>
              <w:bottom w:val="single" w:color="D9D9D9" w:sz="4"/>
              <w:right w:val="single" w:color="D9D9D9" w:sz="4"/>
            </w:tcBorders>
            <w:shd w:fill="0A2647" w:color="auto" w:val="clear"/>
            <w:tcMar>
              <w:top w:type="dxa" w:w="80"/>
              <w:left w:type="dxa" w:w="120"/>
              <w:bottom w:type="dxa" w:w="80"/>
              <w:right w:type="dxa" w:w="120"/>
            </w:tcMar>
            <w:vAlign w:val="center"/>
          </w:tcPr>
          <w:p>
            <w:pPr>
              <w:jc w:val="left"/>
            </w:pPr>
            <w:r>
              <w:rPr>
                <w:b/>
                <w:bCs/>
                <w:color w:val="FFFFFF"/>
                <w:sz w:val="20"/>
                <w:szCs w:val="20"/>
              </w:rPr>
              <w:t xml:space="preserve">ID</w:t>
            </w:r>
          </w:p>
        </w:tc>
        <w:tc>
          <w:tcPr>
            <w:tcW w:type="dxa" w:w="5300"/>
            <w:tcBorders>
              <w:top w:val="single" w:color="D9D9D9" w:sz="4"/>
              <w:left w:val="single" w:color="D9D9D9" w:sz="4"/>
              <w:bottom w:val="single" w:color="D9D9D9" w:sz="4"/>
              <w:right w:val="single" w:color="D9D9D9" w:sz="4"/>
            </w:tcBorders>
            <w:shd w:fill="0A2647" w:color="auto" w:val="clear"/>
            <w:tcMar>
              <w:top w:type="dxa" w:w="80"/>
              <w:left w:type="dxa" w:w="120"/>
              <w:bottom w:type="dxa" w:w="80"/>
              <w:right w:type="dxa" w:w="120"/>
            </w:tcMar>
            <w:vAlign w:val="center"/>
          </w:tcPr>
          <w:p>
            <w:pPr>
              <w:jc w:val="left"/>
            </w:pPr>
            <w:r>
              <w:rPr>
                <w:b/>
                <w:bCs/>
                <w:color w:val="FFFFFF"/>
                <w:sz w:val="20"/>
                <w:szCs w:val="20"/>
              </w:rPr>
              <w:t xml:space="preserve">Requirement</w:t>
            </w:r>
          </w:p>
        </w:tc>
        <w:tc>
          <w:tcPr>
            <w:tcW w:type="dxa" w:w="1700"/>
            <w:tcBorders>
              <w:top w:val="single" w:color="D9D9D9" w:sz="4"/>
              <w:left w:val="single" w:color="D9D9D9" w:sz="4"/>
              <w:bottom w:val="single" w:color="D9D9D9" w:sz="4"/>
              <w:right w:val="single" w:color="D9D9D9" w:sz="4"/>
            </w:tcBorders>
            <w:shd w:fill="0A2647" w:color="auto" w:val="clear"/>
            <w:tcMar>
              <w:top w:type="dxa" w:w="80"/>
              <w:left w:type="dxa" w:w="120"/>
              <w:bottom w:type="dxa" w:w="80"/>
              <w:right w:type="dxa" w:w="120"/>
            </w:tcMar>
            <w:vAlign w:val="center"/>
          </w:tcPr>
          <w:p>
            <w:pPr>
              <w:jc w:val="left"/>
            </w:pPr>
            <w:r>
              <w:rPr>
                <w:b/>
                <w:bCs/>
                <w:color w:val="FFFFFF"/>
                <w:sz w:val="20"/>
                <w:szCs w:val="20"/>
              </w:rPr>
              <w:t xml:space="preserve">Priority</w:t>
            </w:r>
          </w:p>
        </w:tc>
        <w:tc>
          <w:tcPr>
            <w:tcW w:type="dxa" w:w="1000"/>
            <w:tcBorders>
              <w:top w:val="single" w:color="D9D9D9" w:sz="4"/>
              <w:left w:val="single" w:color="D9D9D9" w:sz="4"/>
              <w:bottom w:val="single" w:color="D9D9D9" w:sz="4"/>
              <w:right w:val="single" w:color="D9D9D9" w:sz="4"/>
            </w:tcBorders>
            <w:shd w:fill="0A2647" w:color="auto" w:val="clear"/>
            <w:tcMar>
              <w:top w:type="dxa" w:w="80"/>
              <w:left w:type="dxa" w:w="120"/>
              <w:bottom w:type="dxa" w:w="80"/>
              <w:right w:type="dxa" w:w="120"/>
            </w:tcMar>
            <w:vAlign w:val="center"/>
          </w:tcPr>
          <w:p>
            <w:pPr>
              <w:jc w:val="left"/>
            </w:pPr>
            <w:r>
              <w:rPr>
                <w:b/>
                <w:bCs/>
                <w:color w:val="FFFFFF"/>
                <w:sz w:val="20"/>
                <w:szCs w:val="20"/>
              </w:rPr>
              <w:t xml:space="preserve">Source</w:t>
            </w:r>
          </w:p>
        </w:tc>
      </w:tr>
      <w:tr>
        <w:tc>
          <w:tcPr>
            <w:tcW w:type="dxa" w:w="1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BR-10</w:t>
            </w:r>
          </w:p>
        </w:tc>
        <w:tc>
          <w:tcPr>
            <w:tcW w:type="dxa" w:w="53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The model shall produce explainable, human-readable reason codes suitable for Reg E dispute correspondence.</w:t>
            </w:r>
          </w:p>
        </w:tc>
        <w:tc>
          <w:tcPr>
            <w:tcW w:type="dxa" w:w="17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Must</w:t>
            </w:r>
          </w:p>
        </w:tc>
        <w:tc>
          <w:tcPr>
            <w:tcW w:type="dxa" w:w="1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Compliance</w:t>
            </w:r>
          </w:p>
        </w:tc>
      </w:tr>
      <w:tr>
        <w:tc>
          <w:tcPr>
            <w:tcW w:type="dxa" w:w="1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BR-11</w:t>
            </w:r>
          </w:p>
        </w:tc>
        <w:tc>
          <w:tcPr>
            <w:tcW w:type="dxa" w:w="53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The model development lifecycle shall comply with the Bank's Model Risk Management policy (aligned to SR 11-7).</w:t>
            </w:r>
          </w:p>
        </w:tc>
        <w:tc>
          <w:tcPr>
            <w:tcW w:type="dxa" w:w="17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Must</w:t>
            </w:r>
          </w:p>
        </w:tc>
        <w:tc>
          <w:tcPr>
            <w:tcW w:type="dxa" w:w="1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Compliance</w:t>
            </w:r>
          </w:p>
        </w:tc>
      </w:tr>
      <w:tr>
        <w:tc>
          <w:tcPr>
            <w:tcW w:type="dxa" w:w="1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BR-12</w:t>
            </w:r>
          </w:p>
        </w:tc>
        <w:tc>
          <w:tcPr>
            <w:tcW w:type="dxa" w:w="53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The system shall not use protected-class attributes (or close proxies) as model features.</w:t>
            </w:r>
          </w:p>
        </w:tc>
        <w:tc>
          <w:tcPr>
            <w:tcW w:type="dxa" w:w="17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Must</w:t>
            </w:r>
          </w:p>
        </w:tc>
        <w:tc>
          <w:tcPr>
            <w:tcW w:type="dxa" w:w="1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Legal / Compliance</w:t>
            </w:r>
          </w:p>
        </w:tc>
      </w:tr>
      <w:tr>
        <w:tc>
          <w:tcPr>
            <w:tcW w:type="dxa" w:w="1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BR-13</w:t>
            </w:r>
          </w:p>
        </w:tc>
        <w:tc>
          <w:tcPr>
            <w:tcW w:type="dxa" w:w="53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The system shall maintain a full audit trail of scores, decisions, and overrides for a minimum of 7 years.</w:t>
            </w:r>
          </w:p>
        </w:tc>
        <w:tc>
          <w:tcPr>
            <w:tcW w:type="dxa" w:w="17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Must</w:t>
            </w:r>
          </w:p>
        </w:tc>
        <w:tc>
          <w:tcPr>
            <w:tcW w:type="dxa" w:w="1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Compliance</w:t>
            </w:r>
          </w:p>
        </w:tc>
      </w:tr>
    </w:tbl>
    <w:p>
      <w:pPr>
        <w:pStyle w:val="Heading2"/>
      </w:pPr>
      <w:r>
        <w:t xml:space="preserve">3.4 Reporting &amp; Monitoring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5300"/>
        <w:gridCol w:w="1700"/>
        <w:gridCol w:w="1000"/>
      </w:tblGrid>
      <w:tr>
        <w:trPr>
          <w:tblHeader/>
        </w:trPr>
        <w:tc>
          <w:tcPr>
            <w:tcW w:type="dxa" w:w="1000"/>
            <w:tcBorders>
              <w:top w:val="single" w:color="D9D9D9" w:sz="4"/>
              <w:left w:val="single" w:color="D9D9D9" w:sz="4"/>
              <w:bottom w:val="single" w:color="D9D9D9" w:sz="4"/>
              <w:right w:val="single" w:color="D9D9D9" w:sz="4"/>
            </w:tcBorders>
            <w:shd w:fill="0A2647" w:color="auto" w:val="clear"/>
            <w:tcMar>
              <w:top w:type="dxa" w:w="80"/>
              <w:left w:type="dxa" w:w="120"/>
              <w:bottom w:type="dxa" w:w="80"/>
              <w:right w:type="dxa" w:w="120"/>
            </w:tcMar>
            <w:vAlign w:val="center"/>
          </w:tcPr>
          <w:p>
            <w:pPr>
              <w:jc w:val="left"/>
            </w:pPr>
            <w:r>
              <w:rPr>
                <w:b/>
                <w:bCs/>
                <w:color w:val="FFFFFF"/>
                <w:sz w:val="20"/>
                <w:szCs w:val="20"/>
              </w:rPr>
              <w:t xml:space="preserve">ID</w:t>
            </w:r>
          </w:p>
        </w:tc>
        <w:tc>
          <w:tcPr>
            <w:tcW w:type="dxa" w:w="5300"/>
            <w:tcBorders>
              <w:top w:val="single" w:color="D9D9D9" w:sz="4"/>
              <w:left w:val="single" w:color="D9D9D9" w:sz="4"/>
              <w:bottom w:val="single" w:color="D9D9D9" w:sz="4"/>
              <w:right w:val="single" w:color="D9D9D9" w:sz="4"/>
            </w:tcBorders>
            <w:shd w:fill="0A2647" w:color="auto" w:val="clear"/>
            <w:tcMar>
              <w:top w:type="dxa" w:w="80"/>
              <w:left w:type="dxa" w:w="120"/>
              <w:bottom w:type="dxa" w:w="80"/>
              <w:right w:type="dxa" w:w="120"/>
            </w:tcMar>
            <w:vAlign w:val="center"/>
          </w:tcPr>
          <w:p>
            <w:pPr>
              <w:jc w:val="left"/>
            </w:pPr>
            <w:r>
              <w:rPr>
                <w:b/>
                <w:bCs/>
                <w:color w:val="FFFFFF"/>
                <w:sz w:val="20"/>
                <w:szCs w:val="20"/>
              </w:rPr>
              <w:t xml:space="preserve">Requirement</w:t>
            </w:r>
          </w:p>
        </w:tc>
        <w:tc>
          <w:tcPr>
            <w:tcW w:type="dxa" w:w="1700"/>
            <w:tcBorders>
              <w:top w:val="single" w:color="D9D9D9" w:sz="4"/>
              <w:left w:val="single" w:color="D9D9D9" w:sz="4"/>
              <w:bottom w:val="single" w:color="D9D9D9" w:sz="4"/>
              <w:right w:val="single" w:color="D9D9D9" w:sz="4"/>
            </w:tcBorders>
            <w:shd w:fill="0A2647" w:color="auto" w:val="clear"/>
            <w:tcMar>
              <w:top w:type="dxa" w:w="80"/>
              <w:left w:type="dxa" w:w="120"/>
              <w:bottom w:type="dxa" w:w="80"/>
              <w:right w:type="dxa" w:w="120"/>
            </w:tcMar>
            <w:vAlign w:val="center"/>
          </w:tcPr>
          <w:p>
            <w:pPr>
              <w:jc w:val="left"/>
            </w:pPr>
            <w:r>
              <w:rPr>
                <w:b/>
                <w:bCs/>
                <w:color w:val="FFFFFF"/>
                <w:sz w:val="20"/>
                <w:szCs w:val="20"/>
              </w:rPr>
              <w:t xml:space="preserve">Priority</w:t>
            </w:r>
          </w:p>
        </w:tc>
        <w:tc>
          <w:tcPr>
            <w:tcW w:type="dxa" w:w="1000"/>
            <w:tcBorders>
              <w:top w:val="single" w:color="D9D9D9" w:sz="4"/>
              <w:left w:val="single" w:color="D9D9D9" w:sz="4"/>
              <w:bottom w:val="single" w:color="D9D9D9" w:sz="4"/>
              <w:right w:val="single" w:color="D9D9D9" w:sz="4"/>
            </w:tcBorders>
            <w:shd w:fill="0A2647" w:color="auto" w:val="clear"/>
            <w:tcMar>
              <w:top w:type="dxa" w:w="80"/>
              <w:left w:type="dxa" w:w="120"/>
              <w:bottom w:type="dxa" w:w="80"/>
              <w:right w:type="dxa" w:w="120"/>
            </w:tcMar>
            <w:vAlign w:val="center"/>
          </w:tcPr>
          <w:p>
            <w:pPr>
              <w:jc w:val="left"/>
            </w:pPr>
            <w:r>
              <w:rPr>
                <w:b/>
                <w:bCs/>
                <w:color w:val="FFFFFF"/>
                <w:sz w:val="20"/>
                <w:szCs w:val="20"/>
              </w:rPr>
              <w:t xml:space="preserve">Source</w:t>
            </w:r>
          </w:p>
        </w:tc>
      </w:tr>
      <w:tr>
        <w:tc>
          <w:tcPr>
            <w:tcW w:type="dxa" w:w="1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BR-14</w:t>
            </w:r>
          </w:p>
        </w:tc>
        <w:tc>
          <w:tcPr>
            <w:tcW w:type="dxa" w:w="53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The system shall provide a real-time executive dashboard of fraud loss, false-positive rate, and case volume.</w:t>
            </w:r>
          </w:p>
        </w:tc>
        <w:tc>
          <w:tcPr>
            <w:tcW w:type="dxa" w:w="17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Must</w:t>
            </w:r>
          </w:p>
        </w:tc>
        <w:tc>
          <w:tcPr>
            <w:tcW w:type="dxa" w:w="1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CRO</w:t>
            </w:r>
          </w:p>
        </w:tc>
      </w:tr>
      <w:tr>
        <w:tc>
          <w:tcPr>
            <w:tcW w:type="dxa" w:w="1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BR-15</w:t>
            </w:r>
          </w:p>
        </w:tc>
        <w:tc>
          <w:tcPr>
            <w:tcW w:type="dxa" w:w="53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The system shall alert the Data Science team when model performance (precision/recall) drifts beyond defined thresholds.</w:t>
            </w:r>
          </w:p>
        </w:tc>
        <w:tc>
          <w:tcPr>
            <w:tcW w:type="dxa" w:w="17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Must</w:t>
            </w:r>
          </w:p>
        </w:tc>
        <w:tc>
          <w:tcPr>
            <w:tcW w:type="dxa" w:w="1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Data Science</w:t>
            </w:r>
          </w:p>
        </w:tc>
      </w:tr>
    </w:tbl>
    <w:p>
      <w:pPr>
        <w:pStyle w:val="Heading1"/>
      </w:pPr>
      <w:r>
        <w:t xml:space="preserve">4. Assumptions &amp; Dependencies</w:t>
      </w:r>
    </w:p>
    <w:p>
      <w:pPr>
        <w:pStyle w:val="ListParagraph"/>
        <w:numPr>
          <w:ilvl w:val="0"/>
          <w:numId w:val="2"/>
        </w:numPr>
        <w:spacing w:after="80"/>
      </w:pPr>
      <w:r>
        <w:t xml:space="preserve">Requirements assume continued access to 24+ months of labeled historical fraud data.</w:t>
      </w:r>
    </w:p>
    <w:p>
      <w:pPr>
        <w:pStyle w:val="ListParagraph"/>
        <w:numPr>
          <w:ilvl w:val="0"/>
          <w:numId w:val="2"/>
        </w:numPr>
        <w:spacing w:after="80"/>
      </w:pPr>
      <w:r>
        <w:t xml:space="preserve">Dependent on the Card Payments team's ability to expose a real-time scoring hook in the authorization switch.</w:t>
      </w:r>
    </w:p>
    <w:p>
      <w:pPr>
        <w:pStyle w:val="ListParagraph"/>
        <w:numPr>
          <w:ilvl w:val="0"/>
          <w:numId w:val="2"/>
        </w:numPr>
        <w:spacing w:after="80"/>
      </w:pPr>
      <w:r>
        <w:t xml:space="preserve">Dependent on Compliance's model risk validation timeline, which is externally resourced.</w:t>
      </w:r>
    </w:p>
    <w:p>
      <w:pPr>
        <w:pStyle w:val="Heading1"/>
      </w:pPr>
      <w:r>
        <w:t xml:space="preserve">5. Out of Scope</w:t>
      </w:r>
    </w:p>
    <w:p>
      <w:pPr>
        <w:pStyle w:val="ListParagraph"/>
        <w:numPr>
          <w:ilvl w:val="0"/>
          <w:numId w:val="2"/>
        </w:numPr>
        <w:spacing w:after="80"/>
      </w:pPr>
      <w:r>
        <w:t xml:space="preserve">Wire and ACH fraud detection</w:t>
      </w:r>
    </w:p>
    <w:p>
      <w:pPr>
        <w:pStyle w:val="ListParagraph"/>
        <w:numPr>
          <w:ilvl w:val="0"/>
          <w:numId w:val="2"/>
        </w:numPr>
        <w:spacing w:after="80"/>
      </w:pPr>
      <w:r>
        <w:t xml:space="preserve">Merchant chargeback dispute automation</w:t>
      </w:r>
    </w:p>
    <w:p>
      <w:pPr>
        <w:pStyle w:val="ListParagraph"/>
        <w:numPr>
          <w:ilvl w:val="0"/>
          <w:numId w:val="2"/>
        </w:numPr>
        <w:spacing w:after="80"/>
      </w:pPr>
      <w:r>
        <w:t xml:space="preserve">Customer-facing mobile fraud alerts (Phase 2)</w:t>
      </w:r>
    </w:p>
    <w:p>
      <w:pPr>
        <w:pStyle w:val="Heading1"/>
      </w:pPr>
      <w:r>
        <w:t xml:space="preserve">6. Approval</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1800"/>
      </w:tblGrid>
      <w:tr>
        <w:trPr>
          <w:tblHeader/>
        </w:trPr>
        <w:tc>
          <w:tcPr>
            <w:tcW w:type="dxa" w:w="3300"/>
            <w:tcBorders>
              <w:top w:val="single" w:color="D9D9D9" w:sz="4"/>
              <w:left w:val="single" w:color="D9D9D9" w:sz="4"/>
              <w:bottom w:val="single" w:color="D9D9D9" w:sz="4"/>
              <w:right w:val="single" w:color="D9D9D9" w:sz="4"/>
            </w:tcBorders>
            <w:shd w:fill="0A2647" w:color="auto" w:val="clear"/>
            <w:tcMar>
              <w:top w:type="dxa" w:w="80"/>
              <w:left w:type="dxa" w:w="120"/>
              <w:bottom w:type="dxa" w:w="80"/>
              <w:right w:type="dxa" w:w="120"/>
            </w:tcMar>
            <w:vAlign w:val="center"/>
          </w:tcPr>
          <w:p>
            <w:pPr>
              <w:jc w:val="left"/>
            </w:pPr>
            <w:r>
              <w:rPr>
                <w:b/>
                <w:bCs/>
                <w:color w:val="FFFFFF"/>
                <w:sz w:val="20"/>
                <w:szCs w:val="20"/>
              </w:rPr>
              <w:t xml:space="preserve">Name / Role</w:t>
            </w:r>
          </w:p>
        </w:tc>
        <w:tc>
          <w:tcPr>
            <w:tcW w:type="dxa" w:w="3300"/>
            <w:tcBorders>
              <w:top w:val="single" w:color="D9D9D9" w:sz="4"/>
              <w:left w:val="single" w:color="D9D9D9" w:sz="4"/>
              <w:bottom w:val="single" w:color="D9D9D9" w:sz="4"/>
              <w:right w:val="single" w:color="D9D9D9" w:sz="4"/>
            </w:tcBorders>
            <w:shd w:fill="0A2647" w:color="auto" w:val="clear"/>
            <w:tcMar>
              <w:top w:type="dxa" w:w="80"/>
              <w:left w:type="dxa" w:w="120"/>
              <w:bottom w:type="dxa" w:w="80"/>
              <w:right w:type="dxa" w:w="120"/>
            </w:tcMar>
            <w:vAlign w:val="center"/>
          </w:tcPr>
          <w:p>
            <w:pPr>
              <w:jc w:val="left"/>
            </w:pPr>
            <w:r>
              <w:rPr>
                <w:b/>
                <w:bCs/>
                <w:color w:val="FFFFFF"/>
                <w:sz w:val="20"/>
                <w:szCs w:val="20"/>
              </w:rPr>
              <w:t xml:space="preserve">Approval</w:t>
            </w:r>
          </w:p>
        </w:tc>
        <w:tc>
          <w:tcPr>
            <w:tcW w:type="dxa" w:w="1800"/>
            <w:tcBorders>
              <w:top w:val="single" w:color="D9D9D9" w:sz="4"/>
              <w:left w:val="single" w:color="D9D9D9" w:sz="4"/>
              <w:bottom w:val="single" w:color="D9D9D9" w:sz="4"/>
              <w:right w:val="single" w:color="D9D9D9" w:sz="4"/>
            </w:tcBorders>
            <w:shd w:fill="0A2647" w:color="auto" w:val="clear"/>
            <w:tcMar>
              <w:top w:type="dxa" w:w="80"/>
              <w:left w:type="dxa" w:w="120"/>
              <w:bottom w:type="dxa" w:w="80"/>
              <w:right w:type="dxa" w:w="120"/>
            </w:tcMar>
            <w:vAlign w:val="center"/>
          </w:tcPr>
          <w:p>
            <w:pPr>
              <w:jc w:val="left"/>
            </w:pPr>
            <w:r>
              <w:rPr>
                <w:b/>
                <w:bCs/>
                <w:color w:val="FFFFFF"/>
                <w:sz w:val="20"/>
                <w:szCs w:val="20"/>
              </w:rPr>
              <w:t xml:space="preserve">Date</w:t>
            </w:r>
          </w:p>
        </w:tc>
      </w:tr>
      <w:tr>
        <w:tc>
          <w:tcPr>
            <w:tcW w:type="dxa" w:w="33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David Okonjo – Head of Fraud Operations</w:t>
            </w:r>
          </w:p>
        </w:tc>
        <w:tc>
          <w:tcPr>
            <w:tcW w:type="dxa" w:w="33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Approved</w:t>
            </w:r>
          </w:p>
        </w:tc>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Feb 3, 2026</w:t>
            </w:r>
          </w:p>
        </w:tc>
      </w:tr>
      <w:tr>
        <w:tc>
          <w:tcPr>
            <w:tcW w:type="dxa" w:w="33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Priya Nataraj – Head of Data Science</w:t>
            </w:r>
          </w:p>
        </w:tc>
        <w:tc>
          <w:tcPr>
            <w:tcW w:type="dxa" w:w="33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Approved</w:t>
            </w:r>
          </w:p>
        </w:tc>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Feb 3, 2026</w:t>
            </w:r>
          </w:p>
        </w:tc>
      </w:tr>
      <w:tr>
        <w:tc>
          <w:tcPr>
            <w:tcW w:type="dxa" w:w="33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Sarah Whitfield – Chief Risk Officer</w:t>
            </w:r>
          </w:p>
        </w:tc>
        <w:tc>
          <w:tcPr>
            <w:tcW w:type="dxa" w:w="33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Approved</w:t>
            </w:r>
          </w:p>
        </w:tc>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Feb 4, 2026</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6" w:space="4"/>
      </w:pBdr>
      <w:tabs>
        <w:tab w:val="right" w:pos="9026"/>
      </w:tabs>
    </w:pPr>
    <w:r>
      <w:rPr>
        <w:color w:val="888888"/>
        <w:sz w:val="16"/>
        <w:szCs w:val="16"/>
      </w:rPr>
      <w:t xml:space="preserve">Confidential – Internal Use Only</w:t>
    </w:r>
    <w:r>
      <w:rPr>
        <w:color w:val="888888"/>
        <w:sz w:val="16"/>
        <w:szCs w:val="16"/>
      </w:rPr>
      <w:t xml:space="preserve">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2647" w:sz="6" w:space="4"/>
      </w:pBdr>
      <w:tabs>
        <w:tab w:val="right" w:pos="9026"/>
      </w:tabs>
    </w:pPr>
    <w:r>
      <w:rPr>
        <w:b/>
        <w:bCs/>
        <w:color w:val="0A2647"/>
        <w:sz w:val="16"/>
        <w:szCs w:val="16"/>
      </w:rPr>
      <w:t xml:space="preserve">VERIDIAN BANK</w:t>
    </w:r>
    <w:r>
      <w:rPr>
        <w:color w:val="666666"/>
        <w:sz w:val="16"/>
        <w:szCs w:val="16"/>
      </w:rPr>
      <w:t xml:space="preserve">	SentinelAI Fraud Detection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outlineLvl w:val="0"/>
    </w:pPr>
    <w:rPr>
      <w:rFonts w:ascii="Calibri" w:cs="Calibri" w:eastAsia="Calibri" w:hAnsi="Calibri"/>
      <w:b/>
      <w:bCs/>
      <w:color w:val="0A2647"/>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0A2647"/>
      <w:sz w:val="26"/>
      <w:szCs w:val="26"/>
    </w:rPr>
  </w:style>
  <w:style w:type="paragraph" w:styleId="Heading3">
    <w:name w:val="Heading 3"/>
    <w:basedOn w:val="Normal"/>
    <w:next w:val="Normal"/>
    <w:qFormat/>
    <w:pPr>
      <w:spacing w:after="120" w:before="220"/>
      <w:outlineLvl w:val="2"/>
    </w:pPr>
    <w:rPr>
      <w:rFonts w:ascii="Calibri" w:cs="Calibri" w:eastAsia="Calibri" w:hAnsi="Calibri"/>
      <w:b/>
      <w:bCs/>
      <w:color w:val="B8860B"/>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2026-07-02T08:33:01.232Z</dcterms:created>
  <dcterms:modified xsi:type="dcterms:W3CDTF">2026-07-02T08:33:01.232Z</dcterms:modified>
</cp:coreProperties>
</file>

<file path=docProps/custom.xml><?xml version="1.0" encoding="utf-8"?>
<Properties xmlns="http://schemas.openxmlformats.org/officeDocument/2006/custom-properties" xmlns:vt="http://schemas.openxmlformats.org/officeDocument/2006/docPropsVTypes"/>
</file>