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A2647"/>
          <w:spacing w:val="20"/>
          <w:sz w:val="30"/>
          <w:szCs w:val="30"/>
        </w:rPr>
        <w:t xml:space="preserve">VERIDIAN BANK</w:t>
      </w:r>
    </w:p>
    <w:p>
      <w:pPr>
        <w:spacing w:after="600"/>
        <w:jc w:val="center"/>
      </w:pPr>
      <w:r>
        <w:rPr>
          <w:i/>
          <w:iCs/>
          <w:color w:val="B8860B"/>
          <w:sz w:val="22"/>
          <w:szCs w:val="22"/>
        </w:rPr>
        <w:t xml:space="preserve">SentinelAI Fraud Detection Platform</w:t>
      </w:r>
    </w:p>
    <w:p>
      <w:pPr>
        <w:spacing w:after="100" w:before="200"/>
        <w:jc w:val="center"/>
      </w:pPr>
      <w:r>
        <w:rPr>
          <w:b/>
          <w:bCs/>
          <w:color w:val="B8860B"/>
          <w:spacing w:val="30"/>
          <w:sz w:val="20"/>
          <w:szCs w:val="20"/>
        </w:rPr>
        <w:t xml:space="preserve">PROJECT PLAN</w:t>
      </w:r>
    </w:p>
    <w:p>
      <w:pPr>
        <w:spacing w:after="700"/>
        <w:jc w:val="center"/>
      </w:pPr>
      <w:r>
        <w:rPr>
          <w:b/>
          <w:bCs/>
          <w:color w:val="0A2647"/>
          <w:sz w:val="44"/>
          <w:szCs w:val="44"/>
        </w:rPr>
        <w:t xml:space="preserve">SentinelAI Fraud Detection Platform</w:t>
      </w:r>
    </w:p>
    <w:p>
      <w:pPr>
        <w:spacing w:after="900"/>
        <w:jc w:val="center"/>
      </w:pPr>
      <w:r>
        <w:rPr>
          <w:color w:val="1A1A1A"/>
          <w:sz w:val="24"/>
          <w:szCs w:val="24"/>
        </w:rPr>
        <w:t xml:space="preserve">Work Breakdown Structure, Timeline &amp; Resourcing</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Document Owner:</w:t>
            </w:r>
          </w:p>
        </w:tc>
        <w:tc>
          <w:tcPr>
            <w:tcW w:type="dxa" w:w="5500"/>
            <w:tcBorders>
              <w:top w:val="none" w:color="FFFFFF" w:sz="0"/>
              <w:left w:val="none" w:color="FFFFFF" w:sz="0"/>
              <w:bottom w:val="none" w:color="FFFFFF" w:sz="0"/>
              <w:right w:val="none" w:color="FFFFFF" w:sz="0"/>
            </w:tcBorders>
          </w:tcPr>
          <w:p>
            <w:r>
              <w:rPr>
                <w:sz w:val="20"/>
                <w:szCs w:val="20"/>
              </w:rPr>
              <w:t xml:space="preserve">Mautik Patel, Project Delivery Manager</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Methodology:</w:t>
            </w:r>
          </w:p>
        </w:tc>
        <w:tc>
          <w:tcPr>
            <w:tcW w:type="dxa" w:w="5500"/>
            <w:tcBorders>
              <w:top w:val="none" w:color="FFFFFF" w:sz="0"/>
              <w:left w:val="none" w:color="FFFFFF" w:sz="0"/>
              <w:bottom w:val="none" w:color="FFFFFF" w:sz="0"/>
              <w:right w:val="none" w:color="FFFFFF" w:sz="0"/>
            </w:tcBorders>
          </w:tcPr>
          <w:p>
            <w:r>
              <w:rPr>
                <w:sz w:val="20"/>
                <w:szCs w:val="20"/>
              </w:rPr>
              <w:t xml:space="preserve">Hybrid (PRINCE2 governance / Agile delivery sprints)</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Version:</w:t>
            </w:r>
          </w:p>
        </w:tc>
        <w:tc>
          <w:tcPr>
            <w:tcW w:type="dxa" w:w="5500"/>
            <w:tcBorders>
              <w:top w:val="none" w:color="FFFFFF" w:sz="0"/>
              <w:left w:val="none" w:color="FFFFFF" w:sz="0"/>
              <w:bottom w:val="none" w:color="FFFFFF" w:sz="0"/>
              <w:right w:val="none" w:color="FFFFFF" w:sz="0"/>
            </w:tcBorders>
          </w:tcPr>
          <w:p>
            <w:r>
              <w:rPr>
                <w:sz w:val="20"/>
                <w:szCs w:val="20"/>
              </w:rPr>
              <w:t xml:space="preserve">1.3</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Date:</w:t>
            </w:r>
          </w:p>
        </w:tc>
        <w:tc>
          <w:tcPr>
            <w:tcW w:type="dxa" w:w="5500"/>
            <w:tcBorders>
              <w:top w:val="none" w:color="FFFFFF" w:sz="0"/>
              <w:left w:val="none" w:color="FFFFFF" w:sz="0"/>
              <w:bottom w:val="none" w:color="FFFFFF" w:sz="0"/>
              <w:right w:val="none" w:color="FFFFFF" w:sz="0"/>
            </w:tcBorders>
          </w:tcPr>
          <w:p>
            <w:r>
              <w:rPr>
                <w:sz w:val="20"/>
                <w:szCs w:val="20"/>
              </w:rPr>
              <w:t xml:space="preserve">February 25, 2026</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Duration:</w:t>
            </w:r>
          </w:p>
        </w:tc>
        <w:tc>
          <w:tcPr>
            <w:tcW w:type="dxa" w:w="5500"/>
            <w:tcBorders>
              <w:top w:val="none" w:color="FFFFFF" w:sz="0"/>
              <w:left w:val="none" w:color="FFFFFF" w:sz="0"/>
              <w:bottom w:val="none" w:color="FFFFFF" w:sz="0"/>
              <w:right w:val="none" w:color="FFFFFF" w:sz="0"/>
            </w:tcBorders>
          </w:tcPr>
          <w:p>
            <w:r>
              <w:rPr>
                <w:sz w:val="20"/>
                <w:szCs w:val="20"/>
              </w:rPr>
              <w:t xml:space="preserve">Jan 2026 – Dec 2026 (9-month delivery + 3-month hypercare)</w:t>
            </w:r>
          </w:p>
        </w:tc>
      </w:tr>
    </w:tbl>
    <w:p>
      <w:r>
        <w:br w:type="page"/>
      </w:r>
    </w:p>
    <w:p>
      <w:pPr>
        <w:sectPr>
          <w:pgSz w:w="12240" w:h="15840" w:orient="portrait"/>
          <w:pgMar w:top="1080" w:right="1080" w:bottom="1080" w:left="1080" w:header="708" w:footer="708" w:gutter="0"/>
          <w:pgNumType/>
          <w:docGrid w:linePitch="360"/>
        </w:sectPr>
      </w:pPr>
    </w:p>
    <w:p>
      <w:pPr>
        <w:pStyle w:val="Heading1"/>
      </w:pPr>
      <w:r>
        <w:t xml:space="preserve">1. Delivery Approach</w:t>
      </w:r>
    </w:p>
    <w:p>
      <w:pPr>
        <w:spacing w:after="160"/>
      </w:pPr>
      <w:r>
        <w:t xml:space="preserve">The project follows a hybrid delivery model: PRINCE2-aligned stage gates for governance and sponsor reporting, with Agile two-week sprints for the data science and engineering workstreams. This allows the CRO and steering committee to track progress against fixed milestones while giving Data Science the flexibility to iterate on model performance.</w:t>
      </w:r>
    </w:p>
    <w:p>
      <w:pPr>
        <w:pStyle w:val="Heading1"/>
      </w:pPr>
      <w:r>
        <w:t xml:space="preserve">2. Work Breakdown Structure &amp;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000"/>
        <w:gridCol w:w="2000"/>
        <w:gridCol w:w="1000"/>
      </w:tblGrid>
      <w:tr>
        <w:trPr>
          <w:tblHeader/>
        </w:trPr>
        <w:tc>
          <w:tcPr>
            <w:tcW w:type="dxa" w:w="7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Phase</w:t>
            </w:r>
          </w:p>
        </w:tc>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Workstream / Deliverable</w:t>
            </w:r>
          </w:p>
        </w:tc>
        <w:tc>
          <w:tcPr>
            <w:tcW w:type="dxa" w:w="2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Start</w:t>
            </w:r>
          </w:p>
        </w:tc>
        <w:tc>
          <w:tcPr>
            <w:tcW w:type="dxa" w:w="2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End</w:t>
            </w:r>
          </w:p>
        </w:tc>
        <w:tc>
          <w:tcPr>
            <w:tcW w:type="dxa" w:w="1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Owner</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1</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Initiation: Charter, funding approval, team mobilization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Jan 5,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Jan 23,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Requirements: BRD, FRD, data discovery &amp; profiling</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Jan 26,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Feb 27,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3</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platform: Snowflake feature store build, historical backfill</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Mar 2,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Apr 24,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Eng.</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4</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Model development: feature engineering, training, validation (sprints 1–6)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Mar 16,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Jun 12,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Priya N.</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5</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Integration: scoring API, case management, admin console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Apr 27,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Jun 26,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Eng. Team</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6</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Model risk validation (independent, external)</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Jun 15,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Aug 14,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Compliance</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7</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Pilot: champion/challenger at 10% production traffic</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Jul 6,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Aug 7,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8</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Cutover &amp; full production go-live</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Aug 24,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Sep 11,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9</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Hypercare &amp; stabilization</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Sep 14,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Dec 4,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w:t>
            </w:r>
          </w:p>
        </w:tc>
      </w:tr>
      <w:tr>
        <w:tc>
          <w:tcPr>
            <w:tcW w:type="dxa" w:w="7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10</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Post-implementation review &amp; benefits realization report</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Dec 7, 2026</w:t>
            </w:r>
          </w:p>
        </w:tc>
        <w:tc>
          <w:tcPr>
            <w:tcW w:type="dxa" w:w="2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Dec 18, 2026</w:t>
            </w:r>
          </w:p>
        </w:tc>
        <w:tc>
          <w:tcPr>
            <w:tcW w:type="dxa" w:w="1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w:t>
            </w:r>
          </w:p>
        </w:tc>
      </w:tr>
    </w:tbl>
    <w:p>
      <w:pPr>
        <w:pStyle w:val="Heading1"/>
      </w:pPr>
      <w:r>
        <w:t xml:space="preserve">3. Key Dependencies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tblGrid>
      <w:tr>
        <w:trPr>
          <w:tblHeader/>
        </w:trPr>
        <w:tc>
          <w:tcPr>
            <w:tcW w:type="dxa" w:w="36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Dependency</w:t>
            </w:r>
          </w:p>
        </w:tc>
        <w:tc>
          <w:tcPr>
            <w:tcW w:type="dxa" w:w="44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Impact if Delayed</w:t>
            </w:r>
          </w:p>
        </w:tc>
      </w:tr>
      <w:tr>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Card authorization switch vendor API availability (Card Payments team)</w:t>
            </w:r>
          </w:p>
        </w:tc>
        <w:tc>
          <w:tcPr>
            <w:tcW w:type="dxa" w:w="4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Blocks Phase 5 integration and pilot start</w:t>
            </w:r>
          </w:p>
        </w:tc>
      </w:tr>
      <w:tr>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24 months of clean historical transaction data</w:t>
            </w:r>
          </w:p>
        </w:tc>
        <w:tc>
          <w:tcPr>
            <w:tcW w:type="dxa" w:w="4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Delays model training start in Phase 4</w:t>
            </w:r>
          </w:p>
        </w:tc>
      </w:tr>
      <w:tr>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External model risk validator contract execution</w:t>
            </w:r>
          </w:p>
        </w:tc>
        <w:tc>
          <w:tcPr>
            <w:tcW w:type="dxa" w:w="4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Delays Phase 6 and go-live date</w:t>
            </w:r>
          </w:p>
        </w:tc>
      </w:tr>
      <w:tr>
        <w:tc>
          <w:tcPr>
            <w:tcW w:type="dxa" w:w="3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 analyst availability for pilot labeling</w:t>
            </w:r>
          </w:p>
        </w:tc>
        <w:tc>
          <w:tcPr>
            <w:tcW w:type="dxa" w:w="4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Reduces quality of champion/challenger feedback loop</w:t>
            </w:r>
          </w:p>
        </w:tc>
      </w:tr>
    </w:tbl>
    <w:p>
      <w:pPr>
        <w:pStyle w:val="Heading1"/>
      </w:pPr>
      <w:r>
        <w:t xml:space="preserve">4. Resource Plan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200"/>
      </w:tblGrid>
      <w:tr>
        <w:trPr>
          <w:tblHeader/>
        </w:trPr>
        <w:tc>
          <w:tcPr>
            <w:tcW w:type="dxa" w:w="26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Role</w:t>
            </w:r>
          </w:p>
        </w:tc>
        <w:tc>
          <w:tcPr>
            <w:tcW w:type="dxa" w:w="16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FTE</w:t>
            </w:r>
          </w:p>
        </w:tc>
        <w:tc>
          <w:tcPr>
            <w:tcW w:type="dxa" w:w="4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Allocation Notes</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Project Delivery Manager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1.0</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Full-time, Jan – Dec 2026 (Mautik Patel)</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Scientists</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3.0</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Full-time Mar – Sep; 1.0 FTE retained through hypercare</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Data / ML Engineers</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2.5</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Full-time Feb – Sep for feature store &amp; API build</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Operations Analysts</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2.0</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Part-time (50%) Jun – Sep for pilot labeling and UAT</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QA Engineer</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1.0</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Full-time May – Sep</w:t>
            </w:r>
          </w:p>
        </w:tc>
      </w:tr>
      <w:tr>
        <w:tc>
          <w:tcPr>
            <w:tcW w:type="dxa" w:w="2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Compliance / Model Risk Lead</w:t>
            </w:r>
          </w:p>
        </w:tc>
        <w:tc>
          <w:tcPr>
            <w:tcW w:type="dxa" w:w="1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0.5</w:t>
            </w:r>
          </w:p>
        </w:tc>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Part-time throughout; full-time during Phase 6</w:t>
            </w:r>
          </w:p>
        </w:tc>
      </w:tr>
    </w:tbl>
    <w:p>
      <w:pPr>
        <w:pStyle w:val="Heading1"/>
      </w:pPr>
      <w:r>
        <w:t xml:space="preserve">5. Governance Cadence</w:t>
      </w:r>
    </w:p>
    <w:p>
      <w:pPr>
        <w:pStyle w:val="ListParagraph"/>
        <w:numPr>
          <w:ilvl w:val="0"/>
          <w:numId w:val="2"/>
        </w:numPr>
        <w:spacing w:after="80"/>
      </w:pPr>
      <w:r>
        <w:t xml:space="preserve">Weekly: core team stand-up (delivery team, 30 min)</w:t>
      </w:r>
    </w:p>
    <w:p>
      <w:pPr>
        <w:pStyle w:val="ListParagraph"/>
        <w:numPr>
          <w:ilvl w:val="0"/>
          <w:numId w:val="2"/>
        </w:numPr>
        <w:spacing w:after="80"/>
      </w:pPr>
      <w:r>
        <w:t xml:space="preserve">Bi-weekly: sprint review/demo (Data Science &amp; Engineering)</w:t>
      </w:r>
    </w:p>
    <w:p>
      <w:pPr>
        <w:pStyle w:val="ListParagraph"/>
        <w:numPr>
          <w:ilvl w:val="0"/>
          <w:numId w:val="2"/>
        </w:numPr>
        <w:spacing w:after="80"/>
      </w:pPr>
      <w:r>
        <w:t xml:space="preserve">Monthly: Steering Committee review (Sponsor, PMO, workstream leads)</w:t>
      </w:r>
    </w:p>
    <w:p>
      <w:pPr>
        <w:pStyle w:val="ListParagraph"/>
        <w:numPr>
          <w:ilvl w:val="0"/>
          <w:numId w:val="2"/>
        </w:numPr>
        <w:spacing w:after="80"/>
      </w:pPr>
      <w:r>
        <w:t xml:space="preserve">Stage-gate reviews: end of each of the 10 phases above, with go/no-go decision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88888"/>
        <w:sz w:val="16"/>
        <w:szCs w:val="16"/>
      </w:rPr>
      <w:t xml:space="preserve">Confidential – Internal Use Only</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647" w:sz="6" w:space="4"/>
      </w:pBdr>
      <w:tabs>
        <w:tab w:val="right" w:pos="9026"/>
      </w:tabs>
    </w:pPr>
    <w:r>
      <w:rPr>
        <w:b/>
        <w:bCs/>
        <w:color w:val="0A2647"/>
        <w:sz w:val="16"/>
        <w:szCs w:val="16"/>
      </w:rPr>
      <w:t xml:space="preserve">VERIDIAN BANK</w:t>
    </w:r>
    <w:r>
      <w:rPr>
        <w:color w:val="666666"/>
        <w:sz w:val="16"/>
        <w:szCs w:val="16"/>
      </w:rPr>
      <w:t xml:space="preserve">	SentinelAI Fraud Detection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0A264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A26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B8860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2026-07-02T08:34:06.812Z</dcterms:created>
  <dcterms:modified xsi:type="dcterms:W3CDTF">2026-07-02T08:34:06.812Z</dcterms:modified>
</cp:coreProperties>
</file>

<file path=docProps/custom.xml><?xml version="1.0" encoding="utf-8"?>
<Properties xmlns="http://schemas.openxmlformats.org/officeDocument/2006/custom-properties" xmlns:vt="http://schemas.openxmlformats.org/officeDocument/2006/docPropsVTypes"/>
</file>