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A2647"/>
          <w:spacing w:val="20"/>
          <w:sz w:val="30"/>
          <w:szCs w:val="30"/>
        </w:rPr>
        <w:t xml:space="preserve">VERIDIAN BANK</w:t>
      </w:r>
    </w:p>
    <w:p>
      <w:pPr>
        <w:spacing w:after="600"/>
        <w:jc w:val="center"/>
      </w:pPr>
      <w:r>
        <w:rPr>
          <w:i/>
          <w:iCs/>
          <w:color w:val="B8860B"/>
          <w:sz w:val="22"/>
          <w:szCs w:val="22"/>
        </w:rPr>
        <w:t xml:space="preserve">SentinelAI Fraud Detection Platform</w:t>
      </w:r>
    </w:p>
    <w:p>
      <w:pPr>
        <w:spacing w:after="100" w:before="200"/>
        <w:jc w:val="center"/>
      </w:pPr>
      <w:r>
        <w:rPr>
          <w:b/>
          <w:bCs/>
          <w:color w:val="B8860B"/>
          <w:spacing w:val="30"/>
          <w:sz w:val="20"/>
          <w:szCs w:val="20"/>
        </w:rPr>
        <w:t xml:space="preserve">RAID LOG &amp; RISK REGISTER</w:t>
      </w:r>
    </w:p>
    <w:p>
      <w:pPr>
        <w:spacing w:after="700"/>
        <w:jc w:val="center"/>
      </w:pPr>
      <w:r>
        <w:rPr>
          <w:b/>
          <w:bCs/>
          <w:color w:val="0A2647"/>
          <w:sz w:val="44"/>
          <w:szCs w:val="44"/>
        </w:rPr>
        <w:t xml:space="preserve">SentinelAI Fraud Detection Platform</w:t>
      </w:r>
    </w:p>
    <w:p>
      <w:pPr>
        <w:spacing w:after="900"/>
        <w:jc w:val="center"/>
      </w:pPr>
      <w:r>
        <w:rPr>
          <w:color w:val="1A1A1A"/>
          <w:sz w:val="24"/>
          <w:szCs w:val="24"/>
        </w:rPr>
        <w:t xml:space="preserve">Risks, Assumptions, Issues &amp; Dependencies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0A2647"/>
                <w:sz w:val="20"/>
                <w:szCs w:val="20"/>
              </w:rPr>
              <w:t xml:space="preserve">Document Owner: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Mautik Patel, Project Delivery Manager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0A2647"/>
                <w:sz w:val="20"/>
                <w:szCs w:val="20"/>
              </w:rPr>
              <w:t xml:space="preserve">Version: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Live document – v1.4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0A2647"/>
                <w:sz w:val="20"/>
                <w:szCs w:val="20"/>
              </w:rPr>
              <w:t xml:space="preserve">Last Updated: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May 15, 2026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0A2647"/>
                <w:sz w:val="20"/>
                <w:szCs w:val="20"/>
              </w:rPr>
              <w:t xml:space="preserve">Review Cadence: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Weekly (core team) / Monthly (Steering Committee)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Risk Scoring Methodology</w:t>
      </w:r>
    </w:p>
    <w:p>
      <w:pPr>
        <w:spacing w:after="160"/>
      </w:pPr>
      <w:r>
        <w:t xml:space="preserve">Risk score = Probability (1–5) × Impact (1–5). Scores 12–25 = High (red), 6–11 = Medium (amber), 1–5 = Low (green). High risks are escalated to the Steering Committee within 48 hours of identification.</w:t>
      </w:r>
    </w:p>
    <w:p>
      <w:pPr>
        <w:pStyle w:val="Heading1"/>
      </w:pPr>
      <w:r>
        <w:t xml:space="preserve">2. Risk Register</w:t>
      </w:r>
    </w:p>
    <w:tbl>
      <w:tblPr>
        <w:tblW w:type="dxa" w:w="11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1100"/>
        <w:gridCol w:w="800"/>
        <w:gridCol w:w="800"/>
        <w:gridCol w:w="700"/>
        <w:gridCol w:w="2600"/>
        <w:gridCol w:w="1100"/>
        <w:gridCol w:w="900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Risk Description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Prob (1-5)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 (1-5)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R-01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Historical fraud labels are inconsistently tagged pre-2024, degrading model training quality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1D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16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Run a data quality audit sprint; engage Fraud Ops to re-label a stratified sample of 5,000 historical cases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Priya N.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Open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R-02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Card authorization switch vendor cannot meet 200ms latency SLA for the new scoring hook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Technical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1D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Early proof-of-concept load test in Feb 2026; fallback fail-open design already in FRD (FR-04)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Marcus W.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Open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R-03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External model risk validator has a 10-week backlog, threatening the Aug 2026 sign-off date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Schedule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1D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Engaged validator in parallel from Feb 2026 rather than waiting for model completion; weekly check-ins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Mautik P.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Mitigating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R-04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Model exhibits disparate false-positive impact across zip-code income tiers during fairness testing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Regulatory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CF0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Fairness testing built into FR-14; Legal engaged early to define acceptable disparity thresholds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Compliance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Open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R-05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Fraud Operations analysts under-resourced for pilot labeling, slowing champion/challenger feedback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Resource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CF0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Secured 2.0 FTE commitment from Fraud Ops leadership in the Project Plan; contingency to backfill with contractors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David O.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Mitigating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R-06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Snowflake compute costs exceed budget during historical backfill due to inefficient queries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Financial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CF0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Cost monitoring dashboards and query optimization review before full backfill run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Eng.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Closed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R-07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Key data scientist departs mid-project, causing knowledge loss on feature engineering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Resource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CF0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Documentation-first culture enforced; pair programming on critical pipeline components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Priya N.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Open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R-08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Peak holiday transaction volume (Nov–Jan) exceeds load-tested throughput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Technical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CF0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Load testing at 1.5x projected peak volume scheduled for August 2026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Eng. Team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Open</w:t>
            </w:r>
          </w:p>
        </w:tc>
      </w:tr>
    </w:tbl>
    <w:p>
      <w:pPr>
        <w:pStyle w:val="Heading1"/>
      </w:pPr>
      <w:r>
        <w:t xml:space="preserve">3. Assumptions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2500"/>
        <w:gridCol w:w="1600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Assumption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Validation Method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A-01</w:t>
            </w:r>
          </w:p>
        </w:tc>
        <w:tc>
          <w:tcPr>
            <w:tcW w:type="dxa" w:w="5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24+ months of labeled transaction history exists and is accessible in the warehouse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profiling in Phase 2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Validated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A-02</w:t>
            </w:r>
          </w:p>
        </w:tc>
        <w:tc>
          <w:tcPr>
            <w:tcW w:type="dxa" w:w="5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Card authorization switch supports a synchronous API callout without re-architecture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Vendor technical workshop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Validated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A-03</w:t>
            </w:r>
          </w:p>
        </w:tc>
        <w:tc>
          <w:tcPr>
            <w:tcW w:type="dxa" w:w="5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Fraud Ops leadership can commit 2.0 FTE analysts for pilot period without backfilling BAU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Resource confirmation from Head of Fraud Ops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Validated</w:t>
            </w:r>
          </w:p>
        </w:tc>
      </w:tr>
    </w:tbl>
    <w:p>
      <w:pPr>
        <w:pStyle w:val="Heading1"/>
      </w:pPr>
      <w:r>
        <w:t xml:space="preserve">4. Issues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700"/>
        <w:gridCol w:w="1400"/>
        <w:gridCol w:w="1800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Raised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Resolution / Status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I-01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Digital channel device-fingerprint data has 22% missing values for transactions pre-2025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 2026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Feature engineered with missingness indicator; revalidate model impact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I-02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Case management system API rate limits cap auto-case creation at 500/min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Apr 2026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Vendor increasing limit to 1,500/min by Jun 2026; interim queueing buffer implemented</w:t>
            </w:r>
          </w:p>
        </w:tc>
      </w:tr>
    </w:tbl>
    <w:p>
      <w:pPr>
        <w:pStyle w:val="Heading1"/>
      </w:pPr>
      <w:r>
        <w:t xml:space="preserve">5. Dependencies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2200"/>
        <w:gridCol w:w="1400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Depends On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A264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Target Date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D-01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Scoring API integration cannot begin until switch vendor confirms hook availability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Card Payments / Vendor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Apr 2026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D-02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Go-live cannot proceed without independent model risk validation sign-off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External Validator / Compliance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Aug 2026</w:t>
            </w:r>
          </w:p>
        </w:tc>
      </w:tr>
    </w:tbl>
    <w:sectPr>
      <w:headerReference w:type="default" r:id="rId7"/>
      <w:footerReference w:type="default" r:id="rId8"/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tabs>
        <w:tab w:val="right" w:pos="9026"/>
      </w:tabs>
    </w:pPr>
    <w:r>
      <w:rPr>
        <w:color w:val="888888"/>
        <w:sz w:val="16"/>
        <w:szCs w:val="16"/>
      </w:rPr>
      <w:t xml:space="preserve">Confidential – Internal Use Only</w:t>
    </w:r>
    <w:r>
      <w:rPr>
        <w:color w:val="888888"/>
        <w:sz w:val="16"/>
        <w:szCs w:val="16"/>
      </w:rPr>
      <w:t xml:space="preserve">	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2647" w:sz="6" w:space="4"/>
      </w:pBdr>
      <w:tabs>
        <w:tab w:val="right" w:pos="9026"/>
      </w:tabs>
    </w:pPr>
    <w:r>
      <w:rPr>
        <w:b/>
        <w:bCs/>
        <w:color w:val="0A2647"/>
        <w:sz w:val="16"/>
        <w:szCs w:val="16"/>
      </w:rPr>
      <w:t xml:space="preserve">VERIDIAN BANK</w:t>
    </w:r>
    <w:r>
      <w:rPr>
        <w:color w:val="666666"/>
        <w:sz w:val="16"/>
        <w:szCs w:val="16"/>
      </w:rPr>
      <w:t xml:space="preserve">	SentinelAI Fraud Detection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A264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0A264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B8860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2026-07-02T08:34:51.131Z</dcterms:created>
  <dcterms:modified xsi:type="dcterms:W3CDTF">2026-07-02T08:34:51.132Z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