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0A2647"/>
          <w:spacing w:val="20"/>
          <w:sz w:val="30"/>
          <w:szCs w:val="30"/>
        </w:rPr>
        <w:t xml:space="preserve">VERIDIAN BANK</w:t>
      </w:r>
    </w:p>
    <w:p>
      <w:pPr>
        <w:spacing w:after="600"/>
        <w:jc w:val="center"/>
      </w:pPr>
      <w:r>
        <w:rPr>
          <w:i/>
          <w:iCs/>
          <w:color w:val="B8860B"/>
          <w:sz w:val="22"/>
          <w:szCs w:val="22"/>
        </w:rPr>
        <w:t xml:space="preserve">SentinelAI Fraud Detection Platform</w:t>
      </w:r>
    </w:p>
    <w:p>
      <w:pPr>
        <w:spacing w:after="100" w:before="200"/>
        <w:jc w:val="center"/>
      </w:pPr>
      <w:r>
        <w:rPr>
          <w:b/>
          <w:bCs/>
          <w:color w:val="B8860B"/>
          <w:spacing w:val="30"/>
          <w:sz w:val="20"/>
          <w:szCs w:val="20"/>
        </w:rPr>
        <w:t xml:space="preserve">TEST PLAN &amp; UAT SIGN-OFF</w:t>
      </w:r>
    </w:p>
    <w:p>
      <w:pPr>
        <w:spacing w:after="700"/>
        <w:jc w:val="center"/>
      </w:pPr>
      <w:r>
        <w:rPr>
          <w:b/>
          <w:bCs/>
          <w:color w:val="0A2647"/>
          <w:sz w:val="44"/>
          <w:szCs w:val="44"/>
        </w:rPr>
        <w:t xml:space="preserve">SentinelAI Fraud Detection Platform</w:t>
      </w:r>
    </w:p>
    <w:p>
      <w:pPr>
        <w:spacing w:after="900"/>
        <w:jc w:val="center"/>
      </w:pPr>
      <w:r>
        <w:rPr>
          <w:color w:val="1A1A1A"/>
          <w:sz w:val="24"/>
          <w:szCs w:val="24"/>
        </w:rPr>
        <w:t xml:space="preserve">Test Strategy, Test Cases &amp; User Acceptance Sign-Off</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Document Owner:</w:t>
            </w:r>
          </w:p>
        </w:tc>
        <w:tc>
          <w:tcPr>
            <w:tcW w:type="dxa" w:w="5500"/>
            <w:tcBorders>
              <w:top w:val="none" w:color="FFFFFF" w:sz="0"/>
              <w:left w:val="none" w:color="FFFFFF" w:sz="0"/>
              <w:bottom w:val="none" w:color="FFFFFF" w:sz="0"/>
              <w:right w:val="none" w:color="FFFFFF" w:sz="0"/>
            </w:tcBorders>
          </w:tcPr>
          <w:p>
            <w:r>
              <w:rPr>
                <w:sz w:val="20"/>
                <w:szCs w:val="20"/>
              </w:rPr>
              <w:t xml:space="preserve">Mautik Patel, Project Delivery Manager</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QA Owner:</w:t>
            </w:r>
          </w:p>
        </w:tc>
        <w:tc>
          <w:tcPr>
            <w:tcW w:type="dxa" w:w="5500"/>
            <w:tcBorders>
              <w:top w:val="none" w:color="FFFFFF" w:sz="0"/>
              <w:left w:val="none" w:color="FFFFFF" w:sz="0"/>
              <w:bottom w:val="none" w:color="FFFFFF" w:sz="0"/>
              <w:right w:val="none" w:color="FFFFFF" w:sz="0"/>
            </w:tcBorders>
          </w:tcPr>
          <w:p>
            <w:r>
              <w:rPr>
                <w:sz w:val="20"/>
                <w:szCs w:val="20"/>
              </w:rPr>
              <w:t xml:space="preserve">QA Engineering</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Version:</w:t>
            </w:r>
          </w:p>
        </w:tc>
        <w:tc>
          <w:tcPr>
            <w:tcW w:type="dxa" w:w="5500"/>
            <w:tcBorders>
              <w:top w:val="none" w:color="FFFFFF" w:sz="0"/>
              <w:left w:val="none" w:color="FFFFFF" w:sz="0"/>
              <w:bottom w:val="none" w:color="FFFFFF" w:sz="0"/>
              <w:right w:val="none" w:color="FFFFFF" w:sz="0"/>
            </w:tcBorders>
          </w:tcPr>
          <w:p>
            <w:r>
              <w:rPr>
                <w:sz w:val="20"/>
                <w:szCs w:val="20"/>
              </w:rPr>
              <w:t xml:space="preserve">1.0</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Date:</w:t>
            </w:r>
          </w:p>
        </w:tc>
        <w:tc>
          <w:tcPr>
            <w:tcW w:type="dxa" w:w="5500"/>
            <w:tcBorders>
              <w:top w:val="none" w:color="FFFFFF" w:sz="0"/>
              <w:left w:val="none" w:color="FFFFFF" w:sz="0"/>
              <w:bottom w:val="none" w:color="FFFFFF" w:sz="0"/>
              <w:right w:val="none" w:color="FFFFFF" w:sz="0"/>
            </w:tcBorders>
          </w:tcPr>
          <w:p>
            <w:r>
              <w:rPr>
                <w:sz w:val="20"/>
                <w:szCs w:val="20"/>
              </w:rPr>
              <w:t xml:space="preserve">May 5, 2026</w:t>
            </w:r>
          </w:p>
        </w:tc>
      </w:tr>
    </w:tbl>
    <w:p>
      <w:r>
        <w:br w:type="page"/>
      </w:r>
    </w:p>
    <w:p>
      <w:pPr>
        <w:sectPr>
          <w:pgSz w:w="12240" w:h="15840" w:orient="portrait"/>
          <w:pgMar w:top="1080" w:right="1080" w:bottom="1080" w:left="1080" w:header="708" w:footer="708" w:gutter="0"/>
          <w:pgNumType/>
          <w:docGrid w:linePitch="360"/>
        </w:sectPr>
      </w:pPr>
    </w:p>
    <w:p>
      <w:pPr>
        <w:pStyle w:val="Heading1"/>
      </w:pPr>
      <w:r>
        <w:t xml:space="preserve">1. Test Strategy</w:t>
      </w:r>
    </w:p>
    <w:p>
      <w:pPr>
        <w:spacing w:after="160"/>
      </w:pPr>
      <w:r>
        <w:t xml:space="preserve">Testing occurs across four levels: unit testing (engineering, continuous), integration testing (scoring API and case management, Phase 5), model validation testing (offline performance and fairness, Phase 6), and User Acceptance Testing (UAT) with Fraud Operations analysts prior to the production pilot. UAT exit criteria require 100% of Critical and High priority test cases to pass, with no open Severity 1 defects.</w:t>
      </w:r>
    </w:p>
    <w:p>
      <w:pPr>
        <w:pStyle w:val="Heading1"/>
      </w:pPr>
      <w:r>
        <w:t xml:space="preserve">2. Test Environments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tblGrid>
      <w:tr>
        <w:trPr>
          <w:tblHeader/>
        </w:trPr>
        <w:tc>
          <w:tcPr>
            <w:tcW w:type="dxa" w:w="18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Environment</w:t>
            </w:r>
          </w:p>
        </w:tc>
        <w:tc>
          <w:tcPr>
            <w:tcW w:type="dxa" w:w="32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Purpose</w:t>
            </w:r>
          </w:p>
        </w:tc>
        <w:tc>
          <w:tcPr>
            <w:tcW w:type="dxa" w:w="22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Data</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DEV</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Feature and model development</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Synthetic + anonymized historical sample</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QA/INT</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API integration and regression testing</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Masked production replica (PCI-scoped)</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UAT</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Analyst acceptance testing</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Masked production replica, curated scenario set</w:t>
            </w:r>
          </w:p>
        </w:tc>
      </w:tr>
      <w:tr>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Pilot (Prod)</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Champion/challenger, 10% live traffic</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Live production data</w:t>
            </w:r>
          </w:p>
        </w:tc>
      </w:tr>
    </w:tbl>
    <w:p>
      <w:pPr>
        <w:pStyle w:val="Heading1"/>
      </w:pPr>
      <w:r>
        <w:t xml:space="preserve">3. UAT Test Cases (Sample)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900"/>
        <w:gridCol w:w="1300"/>
      </w:tblGrid>
      <w:tr>
        <w:trPr>
          <w:tblHeader/>
        </w:trPr>
        <w:tc>
          <w:tcPr>
            <w:tcW w:type="dxa" w:w="8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TC ID</w:t>
            </w:r>
          </w:p>
        </w:tc>
        <w:tc>
          <w:tcPr>
            <w:tcW w:type="dxa" w:w="32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Test Scenario</w:t>
            </w:r>
          </w:p>
        </w:tc>
        <w:tc>
          <w:tcPr>
            <w:tcW w:type="dxa" w:w="29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Expected Result</w:t>
            </w:r>
          </w:p>
        </w:tc>
        <w:tc>
          <w:tcPr>
            <w:tcW w:type="dxa" w:w="1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Traces to</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TC-01</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Legitimate low-risk CNP purchase within normal spending pattern</w:t>
            </w:r>
          </w:p>
        </w:tc>
        <w:tc>
          <w:tcPr>
            <w:tcW w:type="dxa" w:w="2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Score &lt; threshold; transaction approved with no case created</w:t>
            </w:r>
          </w:p>
        </w:tc>
        <w:tc>
          <w:tcPr>
            <w:tcW w:type="dxa" w:w="1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FR-01</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TC-02</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High-velocity transactions (5+ in 10 min) across different merchants</w:t>
            </w:r>
          </w:p>
        </w:tc>
        <w:tc>
          <w:tcPr>
            <w:tcW w:type="dxa" w:w="2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Score &gt; threshold; case auto-created with 'velocity spike' reason code</w:t>
            </w:r>
          </w:p>
        </w:tc>
        <w:tc>
          <w:tcPr>
            <w:tcW w:type="dxa" w:w="1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FR-05, FR-09, FR-10</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TC-03</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Transaction from a device/IP geolocation &gt;500 miles from cardholder home address</w:t>
            </w:r>
          </w:p>
        </w:tc>
        <w:tc>
          <w:tcPr>
            <w:tcW w:type="dxa" w:w="2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Score elevated; 'unusual location' reason code returned</w:t>
            </w:r>
          </w:p>
        </w:tc>
        <w:tc>
          <w:tcPr>
            <w:tcW w:type="dxa" w:w="1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FR-06, FR-10</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TC-04</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Scoring service unavailable / times out beyond 400ms</w:t>
            </w:r>
          </w:p>
        </w:tc>
        <w:tc>
          <w:tcPr>
            <w:tcW w:type="dxa" w:w="2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Falls back to legacy rules engine; fallback event logged</w:t>
            </w:r>
          </w:p>
        </w:tc>
        <w:tc>
          <w:tcPr>
            <w:tcW w:type="dxa" w:w="1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FR-04</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TC-05</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Analyst submits case disposition as 'false positive'</w:t>
            </w:r>
          </w:p>
        </w:tc>
        <w:tc>
          <w:tcPr>
            <w:tcW w:type="dxa" w:w="2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Disposition recorded and available in labeled retraining dataset within 24 hours</w:t>
            </w:r>
          </w:p>
        </w:tc>
        <w:tc>
          <w:tcPr>
            <w:tcW w:type="dxa" w:w="1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FR-11</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TC-06</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Fairness check comparing false-positive rate across zip-code income tiers</w:t>
            </w:r>
          </w:p>
        </w:tc>
        <w:tc>
          <w:tcPr>
            <w:tcW w:type="dxa" w:w="2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Disparity remains within the 10% threshold defined by Compliance</w:t>
            </w:r>
          </w:p>
        </w:tc>
        <w:tc>
          <w:tcPr>
            <w:tcW w:type="dxa" w:w="1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FR-14</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TC-07</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Peak load simulation at 1,200 transactions/second</w:t>
            </w:r>
          </w:p>
        </w:tc>
        <w:tc>
          <w:tcPr>
            <w:tcW w:type="dxa" w:w="2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P95 latency remains ≤200ms with no dropped requests</w:t>
            </w:r>
          </w:p>
        </w:tc>
        <w:tc>
          <w:tcPr>
            <w:tcW w:type="dxa" w:w="1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FR-02, NFR-Scalability</w:t>
            </w:r>
          </w:p>
        </w:tc>
      </w:tr>
      <w:tr>
        <w:tc>
          <w:tcPr>
            <w:tcW w:type="dxa" w:w="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TC-08</w:t>
            </w:r>
          </w:p>
        </w:tc>
        <w:tc>
          <w:tcPr>
            <w:tcW w:type="dxa" w:w="3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Query of a 14-month-old scoring event for a dispute investigation</w:t>
            </w:r>
          </w:p>
        </w:tc>
        <w:tc>
          <w:tcPr>
            <w:tcW w:type="dxa" w:w="2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Full record (model version, features, score, decision) retrievable within SLA</w:t>
            </w:r>
          </w:p>
        </w:tc>
        <w:tc>
          <w:tcPr>
            <w:tcW w:type="dxa" w:w="1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FR-12</w:t>
            </w:r>
          </w:p>
        </w:tc>
      </w:tr>
    </w:tbl>
    <w:p>
      <w:pPr>
        <w:pStyle w:val="Heading1"/>
      </w:pPr>
      <w:r>
        <w:t xml:space="preserve">4. Defect Severity Definitions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tblGrid>
      <w:tr>
        <w:trPr>
          <w:tblHeader/>
        </w:trPr>
        <w:tc>
          <w:tcPr>
            <w:tcW w:type="dxa" w:w="16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Severity</w:t>
            </w:r>
          </w:p>
        </w:tc>
        <w:tc>
          <w:tcPr>
            <w:tcW w:type="dxa" w:w="56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Severity 1 – Critical</w:t>
            </w:r>
          </w:p>
        </w:tc>
        <w:tc>
          <w:tcPr>
            <w:tcW w:type="dxa" w:w="5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System unusable, incorrect fraud decision at scale, or regulatory non-compliance; blocks go-live</w:t>
            </w:r>
          </w:p>
        </w:tc>
      </w:tr>
      <w:tr>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Severity 2 – High</w:t>
            </w:r>
          </w:p>
        </w:tc>
        <w:tc>
          <w:tcPr>
            <w:tcW w:type="dxa" w:w="5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Major function impaired (e.g., reason codes missing); workaround exists but degrades UAT confidence</w:t>
            </w:r>
          </w:p>
        </w:tc>
      </w:tr>
      <w:tr>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Severity 3 – Medium</w:t>
            </w:r>
          </w:p>
        </w:tc>
        <w:tc>
          <w:tcPr>
            <w:tcW w:type="dxa" w:w="5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Minor functional gap with limited business impact</w:t>
            </w:r>
          </w:p>
        </w:tc>
      </w:tr>
      <w:tr>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Severity 4 – Low</w:t>
            </w:r>
          </w:p>
        </w:tc>
        <w:tc>
          <w:tcPr>
            <w:tcW w:type="dxa" w:w="5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Cosmetic or documentation issue</w:t>
            </w:r>
          </w:p>
        </w:tc>
      </w:tr>
    </w:tbl>
    <w:p>
      <w:pPr>
        <w:pStyle w:val="Heading1"/>
      </w:pPr>
      <w:r>
        <w:t xml:space="preserve">5. UAT Sign-Off</w:t>
      </w:r>
    </w:p>
    <w:p>
      <w:pPr>
        <w:spacing w:after="160"/>
      </w:pPr>
      <w:r>
        <w:t xml:space="preserve">The undersigned confirm that User Acceptance Testing has been completed against the test cases above, that all Critical and High severity defects have been resolved or formally waived, and that the system is approved to proceed to the production pilot phase.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1900"/>
      </w:tblGrid>
      <w:tr>
        <w:trPr>
          <w:tblHeader/>
        </w:trPr>
        <w:tc>
          <w:tcPr>
            <w:tcW w:type="dxa" w:w="3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Name / Role</w:t>
            </w:r>
          </w:p>
        </w:tc>
        <w:tc>
          <w:tcPr>
            <w:tcW w:type="dxa" w:w="22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Decision</w:t>
            </w:r>
          </w:p>
        </w:tc>
        <w:tc>
          <w:tcPr>
            <w:tcW w:type="dxa" w:w="19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Date</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David Okonjo – Head of Fraud Operations</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Jul 1, 2026</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QA Lead</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Jun 30, 2026</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Mautik Patel – Project Delivery Manager</w:t>
            </w:r>
          </w:p>
        </w:tc>
        <w:tc>
          <w:tcPr>
            <w:tcW w:type="dxa" w:w="2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9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Jul 1,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color w:val="888888"/>
        <w:sz w:val="16"/>
        <w:szCs w:val="16"/>
      </w:rPr>
      <w:t xml:space="preserve">Confidential – Internal Use Only</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647" w:sz="6" w:space="4"/>
      </w:pBdr>
      <w:tabs>
        <w:tab w:val="right" w:pos="9026"/>
      </w:tabs>
    </w:pPr>
    <w:r>
      <w:rPr>
        <w:b/>
        <w:bCs/>
        <w:color w:val="0A2647"/>
        <w:sz w:val="16"/>
        <w:szCs w:val="16"/>
      </w:rPr>
      <w:t xml:space="preserve">VERIDIAN BANK</w:t>
    </w:r>
    <w:r>
      <w:rPr>
        <w:color w:val="666666"/>
        <w:sz w:val="16"/>
        <w:szCs w:val="16"/>
      </w:rPr>
      <w:t xml:space="preserve">	SentinelAI Fraud Detection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0A2647"/>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0A2647"/>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B8860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2026-07-02T08:36:27.548Z</dcterms:created>
  <dcterms:modified xsi:type="dcterms:W3CDTF">2026-07-02T08:36:27.549Z</dcterms:modified>
</cp:coreProperties>
</file>

<file path=docProps/custom.xml><?xml version="1.0" encoding="utf-8"?>
<Properties xmlns="http://schemas.openxmlformats.org/officeDocument/2006/custom-properties" xmlns:vt="http://schemas.openxmlformats.org/officeDocument/2006/docPropsVTypes"/>
</file>