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A2647"/>
          <w:spacing w:val="20"/>
          <w:sz w:val="30"/>
          <w:szCs w:val="30"/>
        </w:rPr>
        <w:t xml:space="preserve">VERIDIAN BANK</w:t>
      </w:r>
    </w:p>
    <w:p>
      <w:pPr>
        <w:spacing w:after="600"/>
        <w:jc w:val="center"/>
      </w:pPr>
      <w:r>
        <w:rPr>
          <w:i/>
          <w:iCs/>
          <w:color w:val="B8860B"/>
          <w:sz w:val="22"/>
          <w:szCs w:val="22"/>
        </w:rPr>
        <w:t xml:space="preserve">SentinelAI Fraud Detection Platform</w:t>
      </w:r>
    </w:p>
    <w:p>
      <w:pPr>
        <w:spacing w:after="100" w:before="200"/>
        <w:jc w:val="center"/>
      </w:pPr>
      <w:r>
        <w:rPr>
          <w:b/>
          <w:bCs/>
          <w:color w:val="B8860B"/>
          <w:spacing w:val="30"/>
          <w:sz w:val="20"/>
          <w:szCs w:val="20"/>
        </w:rPr>
        <w:t xml:space="preserve">WEEKLY STATUS REPORT</w:t>
      </w:r>
    </w:p>
    <w:p>
      <w:pPr>
        <w:spacing w:after="700"/>
        <w:jc w:val="center"/>
      </w:pPr>
      <w:r>
        <w:rPr>
          <w:b/>
          <w:bCs/>
          <w:color w:val="0A2647"/>
          <w:sz w:val="44"/>
          <w:szCs w:val="44"/>
        </w:rPr>
        <w:t xml:space="preserve">SentinelAI Fraud Detection Platform</w:t>
      </w:r>
    </w:p>
    <w:p>
      <w:pPr>
        <w:spacing w:after="900"/>
        <w:jc w:val="center"/>
      </w:pPr>
      <w:r>
        <w:rPr>
          <w:color w:val="1A1A1A"/>
          <w:sz w:val="24"/>
          <w:szCs w:val="24"/>
        </w:rPr>
        <w:t xml:space="preserve">Template &amp; Sample Reporting Periods</w:t>
      </w:r>
    </w:p>
    <w:tbl>
      <w:tblPr>
        <w:tblW w:type="dxa" w:w="8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Mautik Patel, Project Delivery Manager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Distribution: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Sponsor, Steering Committee, Workstream Leads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0A2647"/>
                <w:sz w:val="20"/>
                <w:szCs w:val="20"/>
              </w:rPr>
              <w:t xml:space="preserve">Cadence:</w:t>
            </w:r>
          </w:p>
        </w:tc>
        <w:tc>
          <w:tcPr>
            <w:tcW w:type="dxa" w:w="5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Weekly, every Friday COB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Overall Project Health Summary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400"/>
      </w:tblGrid>
      <w:tr>
        <w:trPr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Schedule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F0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Amber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Model risk validation start delayed 2 weeks pending vendor contract; mitigation in progress (R-03)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Budget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3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Green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Tracking at 98% of planned spend through end of Phase 4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Scope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3F1E8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E7145"/>
                <w:sz w:val="20"/>
                <w:szCs w:val="20"/>
              </w:rPr>
              <w:t xml:space="preserve">Green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 unapproved scope changes; one change request (mobile alerts) deferred to Phase 2 backlog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Resources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F0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Amber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Fraud Ops analyst availability for pilot labeling below plan; backfill contractor request submitted</w:t>
            </w:r>
          </w:p>
        </w:tc>
      </w:tr>
      <w:t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CF0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7791F"/>
                <w:sz w:val="20"/>
                <w:szCs w:val="20"/>
              </w:rPr>
              <w:t xml:space="preserve">Amber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Two high risks open (R-01 data quality, R-02 latency); mitigation plans active</w:t>
            </w:r>
          </w:p>
        </w:tc>
      </w:tr>
    </w:tbl>
    <w:p>
      <w:pPr>
        <w:pStyle w:val="Heading2"/>
      </w:pPr>
      <w:r>
        <w:t xml:space="preserve">Status Report – Week 18 (May 4 – May 8, 2026)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400"/>
      </w:tblGrid>
      <w:tr>
        <w:trPr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</w:tbl>
    <w:p>
      <w:pPr>
        <w:spacing w:after="160"/>
      </w:pPr>
      <text>Key Accomplishments This Period</text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Completed feature engineering for velocity-based features; validated against holdout dataset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Signed vendor contract with external model risk validator (resolves scheduling risk R-03 partially)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Delivered RAID log update to Steering Committee; two risks downgraded from High to Medium</w:t>
      </w:r>
    </w:p>
    <w:p>
      <w:pPr>
        <w:spacing w:after="160"/>
      </w:pPr>
      <text>Planned for Next Period</text>
    </w:p>
    <w:p>
      <w:pPr>
        <w:pStyle w:val="ListParagraph"/>
        <w:numPr>
          <w:ilvl w:val="0"/>
          <w:numId w:val="2"/>
        </w:numPr>
        <w:spacing w:after="80"/>
      </w:pPr>
      <w:r>
        <w:t xml:space="preserve">Begin champion/challenger test harness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Complete UAT test case authoring with QA and Fraud Ops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Kick off fairness testing dataset preparation (FR-14)</w:t>
      </w:r>
    </w:p>
    <w:p>
      <w:pPr>
        <w:spacing w:after="160"/>
      </w:pPr>
      <text>Top Risks / Issues</text>
    </w:p>
    <w:p>
      <w:pPr>
        <w:pStyle w:val="ListParagraph"/>
        <w:numPr>
          <w:ilvl w:val="0"/>
          <w:numId w:val="2"/>
        </w:numPr>
        <w:spacing w:after="80"/>
      </w:pPr>
      <w:r>
        <w:t xml:space="preserve">R-01 (data quality): re-labeling sample now 60% complete, on track for May 22 completion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R-02 (latency): switch vendor POC test scheduled for May 15</w:t>
      </w:r>
    </w:p>
    <w:p>
      <w:pPr>
        <w:pStyle w:val="Heading2"/>
      </w:pPr>
      <w:r>
        <w:t xml:space="preserve">Status Report – Week 19 (May 11 – May 15, 2026)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5400"/>
      </w:tblGrid>
      <w:tr>
        <w:trPr>
          <w:tblHeader/>
        </w:trPr>
        <w:tc>
          <w:tcPr>
            <w:tcW w:type="dxa" w:w="16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2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</w:t>
            </w:r>
          </w:p>
        </w:tc>
        <w:tc>
          <w:tcPr>
            <w:tcW w:type="dxa" w:w="54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0A264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</w:tbl>
    <w:p>
      <w:pPr>
        <w:spacing w:after="160"/>
      </w:pPr>
      <text>Key Accomplishments This Period</text>
    </w:p>
    <w:p>
      <w:pPr>
        <w:pStyle w:val="ListParagraph"/>
        <w:numPr>
          <w:ilvl w:val="0"/>
          <w:numId w:val="2"/>
        </w:numPr>
        <w:spacing w:after="80"/>
      </w:pPr>
      <w:r>
        <w:t xml:space="preserve">Switch vendor POC latency test completed: P95 = 178ms, within target (closes R-02 to Low)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UAT test case set finalized (32 cases across 4 functional areas)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Fairness testing dataset prepared; initial disparity analysis shows 6% gap, within threshold</w:t>
      </w:r>
    </w:p>
    <w:p>
      <w:pPr>
        <w:spacing w:after="160"/>
      </w:pPr>
      <text>Planned for Next Period</text>
    </w:p>
    <w:p>
      <w:pPr>
        <w:pStyle w:val="ListParagraph"/>
        <w:numPr>
          <w:ilvl w:val="0"/>
          <w:numId w:val="2"/>
        </w:numPr>
        <w:spacing w:after="80"/>
      </w:pPr>
      <w:r>
        <w:t xml:space="preserve">Begin formal UAT execution with Fraud Ops analysts (2-week window)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Finalize case management API rate-limit increase with vendor (I-02)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Prepare go-live readiness checklist draft for Steering Committee review</w:t>
      </w:r>
    </w:p>
    <w:p>
      <w:pPr>
        <w:spacing w:after="160"/>
      </w:pPr>
      <text>Top Risks / Issues</text>
    </w:p>
    <w:p>
      <w:pPr>
        <w:pStyle w:val="ListParagraph"/>
        <w:numPr>
          <w:ilvl w:val="0"/>
          <w:numId w:val="2"/>
        </w:numPr>
        <w:spacing w:after="80"/>
      </w:pPr>
      <w:r>
        <w:t xml:space="preserve">R-01 (data quality): on track, re-labeling 85% complete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I-02 (API rate limits): vendor committed to Jun 2026 increase; interim queueing buffer holding steady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Confidential – Internal Use Only</w:t>
    </w:r>
    <w:r>
      <w:rPr>
        <w:color w:val="888888"/>
        <w:sz w:val="16"/>
        <w:szCs w:val="16"/>
      </w:rPr>
      <w:t xml:space="preserve">	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2647" w:sz="6" w:space="4"/>
      </w:pBdr>
      <w:tabs>
        <w:tab w:val="right" w:pos="9026"/>
      </w:tabs>
    </w:pPr>
    <w:r>
      <w:rPr>
        <w:b/>
        <w:bCs/>
        <w:color w:val="0A2647"/>
        <w:sz w:val="16"/>
        <w:szCs w:val="16"/>
      </w:rPr>
      <w:t xml:space="preserve">VERIDIAN BANK</w:t>
    </w:r>
    <w:r>
      <w:rPr>
        <w:color w:val="666666"/>
        <w:sz w:val="16"/>
        <w:szCs w:val="16"/>
      </w:rPr>
      <w:t xml:space="preserve">	SentinelAI Fraud Detection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A26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0A264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B8860B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2026-07-02T08:36:58.893Z</dcterms:created>
  <dcterms:modified xsi:type="dcterms:W3CDTF">2026-07-02T08:36:58.894Z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