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0A2647"/>
          <w:spacing w:val="20"/>
          <w:sz w:val="30"/>
          <w:szCs w:val="30"/>
        </w:rPr>
        <w:t xml:space="preserve">VERIDIAN BANK</w:t>
      </w:r>
    </w:p>
    <w:p>
      <w:pPr>
        <w:spacing w:after="600"/>
        <w:jc w:val="center"/>
      </w:pPr>
      <w:r>
        <w:rPr>
          <w:i/>
          <w:iCs/>
          <w:color w:val="B8860B"/>
          <w:sz w:val="22"/>
          <w:szCs w:val="22"/>
        </w:rPr>
        <w:t xml:space="preserve">SentinelAI Fraud Detection Platform</w:t>
      </w:r>
    </w:p>
    <w:p>
      <w:pPr>
        <w:spacing w:after="100" w:before="200"/>
        <w:jc w:val="center"/>
      </w:pPr>
      <w:r>
        <w:rPr>
          <w:b/>
          <w:bCs/>
          <w:color w:val="B8860B"/>
          <w:spacing w:val="30"/>
          <w:sz w:val="20"/>
          <w:szCs w:val="20"/>
        </w:rPr>
        <w:t xml:space="preserve">POST-IMPLEMENTATION REVIEW</w:t>
      </w:r>
    </w:p>
    <w:p>
      <w:pPr>
        <w:spacing w:after="700"/>
        <w:jc w:val="center"/>
      </w:pPr>
      <w:r>
        <w:rPr>
          <w:b/>
          <w:bCs/>
          <w:color w:val="0A2647"/>
          <w:sz w:val="44"/>
          <w:szCs w:val="44"/>
        </w:rPr>
        <w:t xml:space="preserve">SentinelAI Fraud Detection Platform</w:t>
      </w:r>
    </w:p>
    <w:p>
      <w:pPr>
        <w:spacing w:after="900"/>
        <w:jc w:val="center"/>
      </w:pPr>
      <w:r>
        <w:rPr>
          <w:color w:val="1A1A1A"/>
          <w:sz w:val="24"/>
          <w:szCs w:val="24"/>
        </w:rPr>
        <w:t xml:space="preserve">Benefits Realization &amp; Lessons Learned</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500"/>
      </w:tblGrid>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Document Owner:</w:t>
            </w:r>
          </w:p>
        </w:tc>
        <w:tc>
          <w:tcPr>
            <w:tcW w:type="dxa" w:w="5500"/>
            <w:tcBorders>
              <w:top w:val="none" w:color="FFFFFF" w:sz="0"/>
              <w:left w:val="none" w:color="FFFFFF" w:sz="0"/>
              <w:bottom w:val="none" w:color="FFFFFF" w:sz="0"/>
              <w:right w:val="none" w:color="FFFFFF" w:sz="0"/>
            </w:tcBorders>
          </w:tcPr>
          <w:p>
            <w:r>
              <w:rPr>
                <w:sz w:val="20"/>
                <w:szCs w:val="20"/>
              </w:rPr>
              <w:t xml:space="preserve">Mautik Patel, Project Delivery Manager</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Review Period:</w:t>
            </w:r>
          </w:p>
        </w:tc>
        <w:tc>
          <w:tcPr>
            <w:tcW w:type="dxa" w:w="5500"/>
            <w:tcBorders>
              <w:top w:val="none" w:color="FFFFFF" w:sz="0"/>
              <w:left w:val="none" w:color="FFFFFF" w:sz="0"/>
              <w:bottom w:val="none" w:color="FFFFFF" w:sz="0"/>
              <w:right w:val="none" w:color="FFFFFF" w:sz="0"/>
            </w:tcBorders>
          </w:tcPr>
          <w:p>
            <w:r>
              <w:rPr>
                <w:sz w:val="20"/>
                <w:szCs w:val="20"/>
              </w:rPr>
              <w:t xml:space="preserve">90 Days Post Go-Live (Sep 11 – Dec 10, 2026)</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Version:</w:t>
            </w:r>
          </w:p>
        </w:tc>
        <w:tc>
          <w:tcPr>
            <w:tcW w:type="dxa" w:w="5500"/>
            <w:tcBorders>
              <w:top w:val="none" w:color="FFFFFF" w:sz="0"/>
              <w:left w:val="none" w:color="FFFFFF" w:sz="0"/>
              <w:bottom w:val="none" w:color="FFFFFF" w:sz="0"/>
              <w:right w:val="none" w:color="FFFFFF" w:sz="0"/>
            </w:tcBorders>
          </w:tcPr>
          <w:p>
            <w:r>
              <w:rPr>
                <w:sz w:val="20"/>
                <w:szCs w:val="20"/>
              </w:rPr>
              <w:t xml:space="preserve">1.0 (Final)</w:t>
            </w:r>
          </w:p>
        </w:tc>
      </w:tr>
      <w:tr>
        <w:tc>
          <w:tcPr>
            <w:tcW w:type="dxa" w:w="3000"/>
            <w:tcBorders>
              <w:top w:val="none" w:color="FFFFFF" w:sz="0"/>
              <w:left w:val="none" w:color="FFFFFF" w:sz="0"/>
              <w:bottom w:val="none" w:color="FFFFFF" w:sz="0"/>
              <w:right w:val="none" w:color="FFFFFF" w:sz="0"/>
            </w:tcBorders>
          </w:tcPr>
          <w:p>
            <w:r>
              <w:rPr>
                <w:b/>
                <w:bCs/>
                <w:color w:val="0A2647"/>
                <w:sz w:val="20"/>
                <w:szCs w:val="20"/>
              </w:rPr>
              <w:t xml:space="preserve">Date:</w:t>
            </w:r>
          </w:p>
        </w:tc>
        <w:tc>
          <w:tcPr>
            <w:tcW w:type="dxa" w:w="5500"/>
            <w:tcBorders>
              <w:top w:val="none" w:color="FFFFFF" w:sz="0"/>
              <w:left w:val="none" w:color="FFFFFF" w:sz="0"/>
              <w:bottom w:val="none" w:color="FFFFFF" w:sz="0"/>
              <w:right w:val="none" w:color="FFFFFF" w:sz="0"/>
            </w:tcBorders>
          </w:tcPr>
          <w:p>
            <w:r>
              <w:rPr>
                <w:sz w:val="20"/>
                <w:szCs w:val="20"/>
              </w:rPr>
              <w:t xml:space="preserve">December 18, 2026</w:t>
            </w:r>
          </w:p>
        </w:tc>
      </w:tr>
    </w:tbl>
    <w:p>
      <w:r>
        <w:br w:type="page"/>
      </w:r>
    </w:p>
    <w:p>
      <w:pPr>
        <w:sectPr>
          <w:pgSz w:w="12240" w:h="15840" w:orient="portrait"/>
          <w:pgMar w:top="1080" w:right="1080" w:bottom="1080" w:left="1080" w:header="708" w:footer="708" w:gutter="0"/>
          <w:pgNumType/>
          <w:docGrid w:linePitch="360"/>
        </w:sectPr>
      </w:pPr>
    </w:p>
    <w:p>
      <w:pPr>
        <w:pStyle w:val="Heading1"/>
      </w:pPr>
      <w:r>
        <w:t xml:space="preserve">1. Executive Summary</w:t>
      </w:r>
    </w:p>
    <w:p>
      <w:pPr>
        <w:spacing w:after="160"/>
      </w:pPr>
      <w:r>
        <w:t xml:space="preserve">SentinelAI went live in production on September 11, 2026, on schedule against the re-baselined plan and within 2% of approved budget. Ninety days post go-live, the platform has met or exceeded four of five original success criteria defined in the Project Charter. This review documents outcomes against objectives, financial performance, and lessons learned to inform future Risk Modernization Program initiatives.</w:t>
      </w:r>
    </w:p>
    <w:p>
      <w:pPr>
        <w:pStyle w:val="Heading1"/>
      </w:pPr>
      <w:r>
        <w:t xml:space="preserve">2. Objectives vs. Outcomes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200"/>
      </w:tblGrid>
      <w:tr>
        <w:trPr>
          <w:tblHeader/>
        </w:trPr>
        <w:tc>
          <w:tcPr>
            <w:tcW w:type="dxa" w:w="30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Objective (from Charter)</w:t>
            </w:r>
          </w:p>
        </w:tc>
        <w:tc>
          <w:tcPr>
            <w:tcW w:type="dxa" w:w="24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Target</w:t>
            </w:r>
          </w:p>
        </w:tc>
        <w:tc>
          <w:tcPr>
            <w:tcW w:type="dxa" w:w="24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Actual (90-day)</w:t>
            </w:r>
          </w:p>
        </w:tc>
        <w:tc>
          <w:tcPr>
            <w:tcW w:type="dxa" w:w="12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Status</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Reduce fraud losses</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≥35% reduction</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41% reduction vs. FY2025 baseline</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Exceeded</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Reduce false positives</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≤4.0% decline rate</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3.6% decline rate</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Exceeded</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Real-time performance</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≤200ms P95 latency</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184ms P95 latency</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Met</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Analyst productivity</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≥30% reduction in case volume</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22% reduction in case volume</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Partially Met</w:t>
            </w:r>
          </w:p>
        </w:tc>
      </w:tr>
      <w:tr>
        <w:tc>
          <w:tcPr>
            <w:tcW w:type="dxa" w:w="30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Regulatory alignment</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Independent model risk sign-off</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Sign-off received Aug 19, 2026</w:t>
            </w:r>
          </w:p>
        </w:tc>
        <w:tc>
          <w:tcPr>
            <w:tcW w:type="dxa" w:w="1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Met</w:t>
            </w:r>
          </w:p>
        </w:tc>
      </w:tr>
    </w:tbl>
    <w:p>
      <w:pPr>
        <w:spacing w:after="160"/>
      </w:pPr>
      <w:r>
        <w:t xml:space="preserve">The analyst productivity target was partially met; case volume reduction of 22% fell short of the 30% target, primarily attributable to a conservative initial threshold configuration adopted to manage go-live risk. Threshold recalibration is planned for Q1 2027 (see Section 5).</w:t>
      </w:r>
    </w:p>
    <w:p>
      <w:pPr>
        <w:pStyle w:val="Heading1"/>
      </w:pPr>
      <w:r>
        <w:t xml:space="preserve">3. Financial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00"/>
      </w:tblGrid>
      <w:tr>
        <w:trPr>
          <w:tblHeader/>
        </w:trPr>
        <w:tc>
          <w:tcPr>
            <w:tcW w:type="dxa" w:w="42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Category</w:t>
            </w:r>
          </w:p>
        </w:tc>
        <w:tc>
          <w:tcPr>
            <w:tcW w:type="dxa" w:w="24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Budgeted</w:t>
            </w:r>
          </w:p>
        </w:tc>
        <w:tc>
          <w:tcPr>
            <w:tcW w:type="dxa" w:w="24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Actual</w:t>
            </w:r>
          </w:p>
        </w:tc>
      </w:tr>
      <w:tr>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Total project cost</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$2,400,000</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$2,447,000</w:t>
            </w:r>
          </w:p>
        </w:tc>
      </w:tr>
      <w:tr>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Variance</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+1.96% (within contingency)</w:t>
            </w:r>
          </w:p>
        </w:tc>
      </w:tr>
      <w:tr>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Estimated annualized fraud loss avoidance</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$6,440,000 (at 35% target)</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$7,544,000 (at actual 41%)</w:t>
            </w:r>
          </w:p>
        </w:tc>
      </w:tr>
      <w:tr>
        <w:tc>
          <w:tcPr>
            <w:tcW w:type="dxa" w:w="42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Estimated ROI (Year 1)</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~2.7x</w:t>
            </w:r>
          </w:p>
        </w:tc>
        <w:tc>
          <w:tcPr>
            <w:tcW w:type="dxa" w:w="2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~3.1x</w:t>
            </w:r>
          </w:p>
        </w:tc>
      </w:tr>
    </w:tbl>
    <w:p>
      <w:pPr>
        <w:pStyle w:val="Heading1"/>
      </w:pPr>
      <w:r>
        <w:t xml:space="preserve">4. What Went Well</w:t>
      </w:r>
    </w:p>
    <w:p>
      <w:pPr>
        <w:pStyle w:val="ListParagraph"/>
        <w:numPr>
          <w:ilvl w:val="0"/>
          <w:numId w:val="2"/>
        </w:numPr>
        <w:spacing w:after="80"/>
      </w:pPr>
      <w:r>
        <w:t xml:space="preserve">Early and parallel engagement of the external model risk validator (from Feb 2026, rather than after model completion) prevented the validation stage from becoming the critical-path bottleneck it is on comparable programs.</w:t>
      </w:r>
    </w:p>
    <w:p>
      <w:pPr>
        <w:pStyle w:val="ListParagraph"/>
        <w:numPr>
          <w:ilvl w:val="0"/>
          <w:numId w:val="2"/>
        </w:numPr>
        <w:spacing w:after="80"/>
      </w:pPr>
      <w:r>
        <w:t xml:space="preserve">The fail-open fallback design (FR-04) meant that two production incidents during the pilot (Jul 2026) had zero customer impact, since transactions gracefully reverted to the legacy rules engine.</w:t>
      </w:r>
    </w:p>
    <w:p>
      <w:pPr>
        <w:pStyle w:val="ListParagraph"/>
        <w:numPr>
          <w:ilvl w:val="0"/>
          <w:numId w:val="2"/>
        </w:numPr>
        <w:spacing w:after="80"/>
      </w:pPr>
      <w:r>
        <w:t xml:space="preserve">Weekly RAID log discipline surfaced the data-quality risk (R-01) in March, giving the team four months of lead time to remediate before it could threaten the model training timeline.</w:t>
      </w:r>
    </w:p>
    <w:p>
      <w:pPr>
        <w:pStyle w:val="ListParagraph"/>
        <w:numPr>
          <w:ilvl w:val="0"/>
          <w:numId w:val="2"/>
        </w:numPr>
        <w:spacing w:after="80"/>
      </w:pPr>
      <w:r>
        <w:t xml:space="preserve">Hybrid governance (PRINCE2 stage gates + Agile sprints) gave the Steering Committee predictable checkpoints while preserving delivery flexibility for Data Science.</w:t>
      </w:r>
    </w:p>
    <w:p>
      <w:pPr>
        <w:pStyle w:val="Heading1"/>
      </w:pPr>
      <w:r>
        <w:t xml:space="preserve">5. What Could Be Improved / Lessons Learned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tblGrid>
      <w:tr>
        <w:trPr>
          <w:tblHeader/>
        </w:trPr>
        <w:tc>
          <w:tcPr>
            <w:tcW w:type="dxa" w:w="34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Lesson</w:t>
            </w:r>
          </w:p>
        </w:tc>
        <w:tc>
          <w:tcPr>
            <w:tcW w:type="dxa" w:w="46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Recommendation for Future Initiatives</w:t>
            </w:r>
          </w:p>
        </w:tc>
      </w:tr>
      <w:tr>
        <w:tc>
          <w:tcPr>
            <w:tcW w:type="dxa" w:w="3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Initial score thresholds were set conservatively, limiting case-volume reduction benefit in the first 90 days</w:t>
            </w:r>
          </w:p>
        </w:tc>
        <w:tc>
          <w:tcPr>
            <w:tcW w:type="dxa" w:w="4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Build a formal threshold recalibration checkpoint into the plan at 30/60/90 days post go-live, rather than treating go-live as the finish line</w:t>
            </w:r>
          </w:p>
        </w:tc>
      </w:tr>
      <w:tr>
        <w:tc>
          <w:tcPr>
            <w:tcW w:type="dxa" w:w="3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Device-fingerprint data completeness (78%) was discovered later than ideal, in Phase 4 rather than Phase 2</w:t>
            </w:r>
          </w:p>
        </w:tc>
        <w:tc>
          <w:tcPr>
            <w:tcW w:type="dxa" w:w="4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Run data completeness profiling on all planned feature sources during the requirements phase, before FRD sign-off</w:t>
            </w:r>
          </w:p>
        </w:tc>
      </w:tr>
      <w:tr>
        <w:tc>
          <w:tcPr>
            <w:tcW w:type="dxa" w:w="3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Fraud Ops analyst availability for labeling was consistently tighter than planned</w:t>
            </w:r>
          </w:p>
        </w:tc>
        <w:tc>
          <w:tcPr>
            <w:tcW w:type="dxa" w:w="4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When resourcing a pilot, secure committed FTE allocation in writing from the functional leader's manager, not just the functional leader</w:t>
            </w:r>
          </w:p>
        </w:tc>
      </w:tr>
      <w:tr>
        <w:tc>
          <w:tcPr>
            <w:tcW w:type="dxa" w:w="34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Case management API rate limits were not identified as a constraint until integration testing</w:t>
            </w:r>
          </w:p>
        </w:tc>
        <w:tc>
          <w:tcPr>
            <w:tcW w:type="dxa" w:w="46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Add third-party API capacity limits to the technical dependency checklist during solution design</w:t>
            </w:r>
          </w:p>
        </w:tc>
      </w:tr>
    </w:tbl>
    <w:p>
      <w:pPr>
        <w:pStyle w:val="Heading1"/>
      </w:pPr>
      <w:r>
        <w:t xml:space="preserve">6. Recommendations &amp; Next Steps</w:t>
      </w:r>
    </w:p>
    <w:p>
      <w:pPr>
        <w:pStyle w:val="ListParagraph"/>
        <w:numPr>
          <w:ilvl w:val="0"/>
          <w:numId w:val="2"/>
        </w:numPr>
        <w:spacing w:after="80"/>
      </w:pPr>
      <w:r>
        <w:t xml:space="preserve">Q1 2027: Recalibrate score thresholds using 90 days of production data to close the gap on the analyst productivity target</w:t>
      </w:r>
    </w:p>
    <w:p>
      <w:pPr>
        <w:pStyle w:val="ListParagraph"/>
        <w:numPr>
          <w:ilvl w:val="0"/>
          <w:numId w:val="2"/>
        </w:numPr>
        <w:spacing w:after="80"/>
      </w:pPr>
      <w:r>
        <w:t xml:space="preserve">Q1 2027: Begin discovery for Phase 2 scope (customer-facing mobile fraud alerts), deferred from this project</w:t>
      </w:r>
    </w:p>
    <w:p>
      <w:pPr>
        <w:pStyle w:val="ListParagraph"/>
        <w:numPr>
          <w:ilvl w:val="0"/>
          <w:numId w:val="2"/>
        </w:numPr>
        <w:spacing w:after="80"/>
      </w:pPr>
      <w:r>
        <w:t xml:space="preserve">Q2 2027: Apply the data-completeness profiling lesson to the upcoming Treasury Fraud Program (wire/ACH) initiative</w:t>
      </w:r>
    </w:p>
    <w:p>
      <w:pPr>
        <w:pStyle w:val="ListParagraph"/>
        <w:numPr>
          <w:ilvl w:val="0"/>
          <w:numId w:val="2"/>
        </w:numPr>
        <w:spacing w:after="80"/>
      </w:pPr>
      <w:r>
        <w:t xml:space="preserve">Ongoing: Continue monthly model performance and fairness monitoring per the governance framework established in FR-14 and FR-15</w:t>
      </w:r>
    </w:p>
    <w:p>
      <w:pPr>
        <w:pStyle w:val="Heading1"/>
      </w:pPr>
      <w:r>
        <w:t xml:space="preserve">7. Sign-Off</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1800"/>
      </w:tblGrid>
      <w:tr>
        <w:trPr>
          <w:tblHeader/>
        </w:trPr>
        <w:tc>
          <w:tcPr>
            <w:tcW w:type="dxa" w:w="3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Name / Role</w:t>
            </w:r>
          </w:p>
        </w:tc>
        <w:tc>
          <w:tcPr>
            <w:tcW w:type="dxa" w:w="33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Approval</w:t>
            </w:r>
          </w:p>
        </w:tc>
        <w:tc>
          <w:tcPr>
            <w:tcW w:type="dxa" w:w="1800"/>
            <w:tcBorders>
              <w:top w:val="single" w:color="D9D9D9" w:sz="4"/>
              <w:left w:val="single" w:color="D9D9D9" w:sz="4"/>
              <w:bottom w:val="single" w:color="D9D9D9" w:sz="4"/>
              <w:right w:val="single" w:color="D9D9D9" w:sz="4"/>
            </w:tcBorders>
            <w:shd w:fill="0A2647" w:color="auto" w:val="clear"/>
            <w:tcMar>
              <w:top w:type="dxa" w:w="80"/>
              <w:left w:type="dxa" w:w="120"/>
              <w:bottom w:type="dxa" w:w="80"/>
              <w:right w:type="dxa" w:w="120"/>
            </w:tcMar>
            <w:vAlign w:val="center"/>
          </w:tcPr>
          <w:p>
            <w:pPr>
              <w:jc w:val="left"/>
            </w:pPr>
            <w:r>
              <w:rPr>
                <w:b/>
                <w:bCs/>
                <w:color w:val="FFFFFF"/>
                <w:sz w:val="20"/>
                <w:szCs w:val="20"/>
              </w:rPr>
              <w:t xml:space="preserve">Date</w:t>
            </w:r>
          </w:p>
        </w:tc>
      </w:tr>
      <w:tr>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Sarah Whitfield – Chief Risk Officer</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Approved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Dec 18, 2026</w:t>
            </w:r>
          </w:p>
        </w:tc>
      </w:tr>
      <w:tr>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Mautik Patel – Project Delivery Manager</w:t>
            </w:r>
          </w:p>
        </w:tc>
        <w:tc>
          <w:tcPr>
            <w:tcW w:type="dxa" w:w="33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Approved</w:t>
            </w:r>
          </w:p>
        </w:tc>
        <w:tc>
          <w:tcPr>
            <w:tcW w:type="dxa" w:w="1800"/>
            <w:tcBorders>
              <w:top w:val="single" w:color="D9D9D9" w:sz="4"/>
              <w:left w:val="single" w:color="D9D9D9" w:sz="4"/>
              <w:bottom w:val="single" w:color="D9D9D9" w:sz="4"/>
              <w:right w:val="single" w:color="D9D9D9" w:sz="4"/>
            </w:tcBorders>
            <w:tcMar>
              <w:top w:type="dxa" w:w="80"/>
              <w:left w:type="dxa" w:w="120"/>
              <w:bottom w:type="dxa" w:w="80"/>
              <w:right w:type="dxa" w:w="120"/>
            </w:tcMar>
            <w:vAlign w:val="center"/>
          </w:tcPr>
          <w:p>
            <w:pPr>
              <w:jc w:val="left"/>
            </w:pPr>
            <w:r>
              <w:rPr>
                <w:b w:val="false"/>
                <w:bCs w:val="false"/>
                <w:color w:val="1A1A1A"/>
                <w:sz w:val="20"/>
                <w:szCs w:val="20"/>
              </w:rPr>
              <w:t xml:space="preserve">Dec 18,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color w:val="888888"/>
        <w:sz w:val="16"/>
        <w:szCs w:val="16"/>
      </w:rPr>
      <w:t xml:space="preserve">Confidential – Internal Use Only</w:t>
    </w: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2647" w:sz="6" w:space="4"/>
      </w:pBdr>
      <w:tabs>
        <w:tab w:val="right" w:pos="9026"/>
      </w:tabs>
    </w:pPr>
    <w:r>
      <w:rPr>
        <w:b/>
        <w:bCs/>
        <w:color w:val="0A2647"/>
        <w:sz w:val="16"/>
        <w:szCs w:val="16"/>
      </w:rPr>
      <w:t xml:space="preserve">VERIDIAN BANK</w:t>
    </w:r>
    <w:r>
      <w:rPr>
        <w:color w:val="666666"/>
        <w:sz w:val="16"/>
        <w:szCs w:val="16"/>
      </w:rPr>
      <w:t xml:space="preserve">	SentinelAI Fraud Detection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Calibri" w:cs="Calibri" w:eastAsia="Calibri" w:hAnsi="Calibri"/>
      <w:b/>
      <w:bCs/>
      <w:color w:val="0A2647"/>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0A2647"/>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B8860B"/>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2026-07-02T08:37:28.290Z</dcterms:created>
  <dcterms:modified xsi:type="dcterms:W3CDTF">2026-07-02T08:37:28.290Z</dcterms:modified>
</cp:coreProperties>
</file>

<file path=docProps/custom.xml><?xml version="1.0" encoding="utf-8"?>
<Properties xmlns="http://schemas.openxmlformats.org/officeDocument/2006/custom-properties" xmlns:vt="http://schemas.openxmlformats.org/officeDocument/2006/docPropsVTypes"/>
</file>