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0A2647"/>
          <w:spacing w:val="20"/>
          <w:sz w:val="30"/>
          <w:szCs w:val="30"/>
        </w:rPr>
        <w:t xml:space="preserve">VERIDIAN BANK</w:t>
      </w:r>
    </w:p>
    <w:p>
      <w:pPr>
        <w:spacing w:after="600"/>
        <w:jc w:val="center"/>
      </w:pPr>
      <w:r>
        <w:rPr>
          <w:i/>
          <w:iCs/>
          <w:color w:val="B8860B"/>
          <w:sz w:val="22"/>
          <w:szCs w:val="22"/>
        </w:rPr>
        <w:t xml:space="preserve">SentinelAI Fraud Detection Platform</w:t>
      </w:r>
    </w:p>
    <w:p>
      <w:pPr>
        <w:spacing w:after="100" w:before="200"/>
        <w:jc w:val="center"/>
      </w:pPr>
      <w:r>
        <w:rPr>
          <w:b/>
          <w:bCs/>
          <w:color w:val="B8860B"/>
          <w:spacing w:val="30"/>
          <w:sz w:val="20"/>
          <w:szCs w:val="20"/>
        </w:rPr>
        <w:t xml:space="preserve">PROJECT CHARTER</w:t>
      </w:r>
    </w:p>
    <w:p>
      <w:pPr>
        <w:spacing w:after="700"/>
        <w:jc w:val="center"/>
      </w:pPr>
      <w:r>
        <w:rPr>
          <w:b/>
          <w:bCs/>
          <w:color w:val="0A2647"/>
          <w:sz w:val="44"/>
          <w:szCs w:val="44"/>
        </w:rPr>
        <w:t xml:space="preserve">SentinelAI Fraud Detection Platform</w:t>
      </w:r>
    </w:p>
    <w:p>
      <w:pPr>
        <w:spacing w:after="900"/>
        <w:jc w:val="center"/>
      </w:pPr>
      <w:r>
        <w:rPr>
          <w:color w:val="1A1A1A"/>
          <w:sz w:val="24"/>
          <w:szCs w:val="24"/>
        </w:rPr>
        <w:t xml:space="preserve">Real-Time, ML-Driven Card Fraud Detection &amp; Decisioning</w:t>
      </w:r>
    </w:p>
    <w:tbl>
      <w:tblPr>
        <w:tblW w:type="dxa" w:w="8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5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0A2647"/>
                <w:sz w:val="20"/>
                <w:szCs w:val="20"/>
              </w:rPr>
              <w:t xml:space="preserve">Document Owner:</w:t>
            </w:r>
          </w:p>
        </w:tc>
        <w:tc>
          <w:tcPr>
            <w:tcW w:type="dxa" w:w="5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0"/>
                <w:szCs w:val="20"/>
              </w:rPr>
              <w:t xml:space="preserve">Mautik Patel, Project Delivery Manager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0A2647"/>
                <w:sz w:val="20"/>
                <w:szCs w:val="20"/>
              </w:rPr>
              <w:t xml:space="preserve">Sponsor:</w:t>
            </w:r>
          </w:p>
        </w:tc>
        <w:tc>
          <w:tcPr>
            <w:tcW w:type="dxa" w:w="5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0"/>
                <w:szCs w:val="20"/>
              </w:rPr>
              <w:t xml:space="preserve">Sarah Whitfield, Chief Risk Officer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0A2647"/>
                <w:sz w:val="20"/>
                <w:szCs w:val="20"/>
              </w:rPr>
              <w:t xml:space="preserve">Version:</w:t>
            </w:r>
          </w:p>
        </w:tc>
        <w:tc>
          <w:tcPr>
            <w:tcW w:type="dxa" w:w="5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0"/>
                <w:szCs w:val="20"/>
              </w:rPr>
              <w:t xml:space="preserve">1.0 (Approved)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0A2647"/>
                <w:sz w:val="20"/>
                <w:szCs w:val="20"/>
              </w:rPr>
              <w:t xml:space="preserve">Date:</w:t>
            </w:r>
          </w:p>
        </w:tc>
        <w:tc>
          <w:tcPr>
            <w:tcW w:type="dxa" w:w="5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0"/>
                <w:szCs w:val="20"/>
              </w:rPr>
              <w:t xml:space="preserve">January 12, 2026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0A2647"/>
                <w:sz w:val="20"/>
                <w:szCs w:val="20"/>
              </w:rPr>
              <w:t xml:space="preserve">Classification:</w:t>
            </w:r>
          </w:p>
        </w:tc>
        <w:tc>
          <w:tcPr>
            <w:tcW w:type="dxa" w:w="5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0"/>
                <w:szCs w:val="20"/>
              </w:rPr>
              <w:t xml:space="preserve">Confidential – Internal Use Only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Project Purpose &amp; Justification</w:t>
      </w:r>
    </w:p>
    <w:p>
      <w:pPr>
        <w:spacing w:after="160"/>
      </w:pPr>
      <w:r>
        <w:t xml:space="preserve">Veridian Bank's card fraud losses have grown 42% over the past 24 months, driven primarily by card-not-present (CNP) e-commerce fraud and account takeover schemes. The current fraud detection engine relies on static, rules-based logic that was last materially updated in 2021. This has produced two compounding problems: fraud losses of approximately $18.4M in the trailing twelve months, and a false-positive rate of 6.8% that generates over 40,000 unnecessary transaction declines per month, directly harming customer experience and contributing to a measurable increase in card attrition.</w:t>
      </w:r>
    </w:p>
    <w:p>
      <w:pPr>
        <w:spacing w:after="160"/>
      </w:pPr>
      <w:r>
        <w:t xml:space="preserve">SentinelAI will replace the legacy rules engine with a real-time, machine-learning-based fraud scoring platform. The project is sponsored by the Office of the Chief Risk Officer and is one of three initiatives designated as a 2026 enterprise priority under the Bank's Risk Modernization Program.</w:t>
      </w:r>
    </w:p>
    <w:p>
      <w:pPr>
        <w:pStyle w:val="Heading1"/>
      </w:pPr>
      <w:r>
        <w:t xml:space="preserve">2. Business Objectives &amp; Success Criteria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300"/>
        <w:gridCol w:w="2500"/>
      </w:tblGrid>
      <w:tr>
        <w:trPr>
          <w:tblHeader/>
        </w:trP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A264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Objective</w:t>
            </w:r>
          </w:p>
        </w:tc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A264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Success Criteria</w:t>
            </w:r>
          </w:p>
        </w:tc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A264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Target Date</w:t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Reduce fraud losses</w:t>
            </w:r>
          </w:p>
        </w:tc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Reduce annualized fraud losses by ≥35% vs. FY2025 baseline</w:t>
            </w:r>
          </w:p>
        </w:tc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Q4 2026</w:t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Reduce false positives</w:t>
            </w:r>
          </w:p>
        </w:tc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Cut false-positive decline rate from 6.8% to ≤4.0%</w:t>
            </w:r>
          </w:p>
        </w:tc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Q4 2026</w:t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Real-time performance</w:t>
            </w:r>
          </w:p>
        </w:tc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Achieve ≤200ms P95 transaction scoring latency</w:t>
            </w:r>
          </w:p>
        </w:tc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Go-live</w:t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Analyst productivity</w:t>
            </w:r>
          </w:p>
        </w:tc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Reduce manual case review volume by 30%</w:t>
            </w:r>
          </w:p>
        </w:tc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Q1 2027 (90 days post go-live)</w:t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Regulatory alignment</w:t>
            </w:r>
          </w:p>
        </w:tc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Pass independent model risk validation (SR 11-7 aligned)</w:t>
            </w:r>
          </w:p>
        </w:tc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Prior to go-live</w:t>
            </w:r>
          </w:p>
        </w:tc>
      </w:tr>
    </w:tbl>
    <w:p>
      <w:pPr>
        <w:pStyle w:val="Heading1"/>
      </w:pPr>
      <w:r>
        <w:t xml:space="preserve">3. Scope</w:t>
      </w:r>
    </w:p>
    <w:p>
      <w:pPr>
        <w:pStyle w:val="Heading2"/>
      </w:pPr>
      <w:r>
        <w:t xml:space="preserve">3.1 In Scope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Real-time ML fraud scoring engine for credit and debit card transactions (POS and CNP)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Feature engineering pipeline using Snowflake as the analytical data layer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Model development, validation, and champion/challenger testing framework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Case management workflow integration for the Fraud Operations team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Integration with the existing card authorization switch (real-time API)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Explainability layer (reason codes) for analyst review and regulatory response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Model monitoring, drift detection, and retraining pipeline</w:t>
      </w:r>
    </w:p>
    <w:p>
      <w:pPr>
        <w:pStyle w:val="Heading2"/>
      </w:pPr>
      <w:r>
        <w:t xml:space="preserve">3.2 Out of Scope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Wire transfer and ACH fraud detection (separate initiative, Treasury Fraud Program)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Merchant-side fraud/chargeback dispute automation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Replacement of the core card issuance or authorization switch platform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New customer-facing fraud alert mobile app (Phase 2 candidate)</w:t>
      </w:r>
    </w:p>
    <w:p>
      <w:pPr>
        <w:pStyle w:val="Heading1"/>
      </w:pPr>
      <w:r>
        <w:t xml:space="preserve">4. Key Stakeholders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600"/>
      </w:tblGrid>
      <w:tr>
        <w:trPr>
          <w:tblHeader/>
        </w:trP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A264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Name / Role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A264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Organization</w:t>
            </w:r>
          </w:p>
        </w:tc>
        <w:tc>
          <w:tcPr>
            <w:tcW w:type="dxa" w:w="3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A264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Interest / Influence</w:t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Sarah Whitfield, CRO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Risk Management</w:t>
            </w:r>
          </w:p>
        </w:tc>
        <w:tc>
          <w:tcPr>
            <w:tcW w:type="dxa" w:w="3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Executive Sponsor; accountable for fraud loss KPIs</w:t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Mautik Patel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PMO / BI Delivery</w:t>
            </w:r>
          </w:p>
        </w:tc>
        <w:tc>
          <w:tcPr>
            <w:tcW w:type="dxa" w:w="3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Project Delivery Manager; owns plan, budget, and delivery</w:t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David Okonjo, Head of Fraud Ops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Fraud Operations</w:t>
            </w:r>
          </w:p>
        </w:tc>
        <w:tc>
          <w:tcPr>
            <w:tcW w:type="dxa" w:w="3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Primary business owner of case workflow and analyst tooling</w:t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Priya Nataraj, Head of Data Science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Data &amp; Analytics</w:t>
            </w:r>
          </w:p>
        </w:tc>
        <w:tc>
          <w:tcPr>
            <w:tcW w:type="dxa" w:w="3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Owns model design, training, and validation</w:t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Marcus Webb, Head of Card Payments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Card Payments</w:t>
            </w:r>
          </w:p>
        </w:tc>
        <w:tc>
          <w:tcPr>
            <w:tcW w:type="dxa" w:w="3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Owns authorization switch integration and uptime SLAs</w:t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Legal &amp; Compliance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Compliance</w:t>
            </w:r>
          </w:p>
        </w:tc>
        <w:tc>
          <w:tcPr>
            <w:tcW w:type="dxa" w:w="3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Regulatory sign-off; model risk governance (SR 11-7)</w:t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Enterprise IT Infrastructure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IT</w:t>
            </w:r>
          </w:p>
        </w:tc>
        <w:tc>
          <w:tcPr>
            <w:tcW w:type="dxa" w:w="3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Provides compute, network, and production environment support</w:t>
            </w:r>
          </w:p>
        </w:tc>
      </w:tr>
    </w:tbl>
    <w:p>
      <w:pPr>
        <w:pStyle w:val="Heading1"/>
      </w:pPr>
      <w:r>
        <w:t xml:space="preserve">5. High-Level Milestones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000"/>
        <w:gridCol w:w="2800"/>
      </w:tblGrid>
      <w:tr>
        <w:trPr>
          <w:tblHeader/>
        </w:trPr>
        <w:tc>
          <w:tcPr>
            <w:tcW w:type="dxa" w:w="4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A264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A264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A264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4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Charter approval &amp; funding release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Jan 2026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CRO / Sponsor</w:t>
            </w:r>
          </w:p>
        </w:tc>
      </w:tr>
      <w:tr>
        <w:tc>
          <w:tcPr>
            <w:tcW w:type="dxa" w:w="4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Requirements sign-off (BRD/FRD)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Feb 2026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Mautik Patel</w:t>
            </w:r>
          </w:p>
        </w:tc>
      </w:tr>
      <w:tr>
        <w:tc>
          <w:tcPr>
            <w:tcW w:type="dxa" w:w="4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Data pipeline &amp; feature store live (dev)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Apr 2026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Data Engineering</w:t>
            </w:r>
          </w:p>
        </w:tc>
      </w:tr>
      <w:tr>
        <w:tc>
          <w:tcPr>
            <w:tcW w:type="dxa" w:w="4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Model v1 trained &amp; validated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Jun 2026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Data Science</w:t>
            </w:r>
          </w:p>
        </w:tc>
      </w:tr>
      <w:tr>
        <w:tc>
          <w:tcPr>
            <w:tcW w:type="dxa" w:w="4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Champion/challenger pilot (10% traffic)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Jul 2026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Fraud Ops / Data Science</w:t>
            </w:r>
          </w:p>
        </w:tc>
      </w:tr>
      <w:tr>
        <w:tc>
          <w:tcPr>
            <w:tcW w:type="dxa" w:w="4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Model risk validation sign-off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Aug 2026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Compliance</w:t>
            </w:r>
          </w:p>
        </w:tc>
      </w:tr>
      <w:tr>
        <w:tc>
          <w:tcPr>
            <w:tcW w:type="dxa" w:w="4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Full production go-live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Sep 2026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Mautik Patel</w:t>
            </w:r>
          </w:p>
        </w:tc>
      </w:tr>
      <w:tr>
        <w:tc>
          <w:tcPr>
            <w:tcW w:type="dxa" w:w="4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Post-implementation review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Dec 2026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Mautik Patel</w:t>
            </w:r>
          </w:p>
        </w:tc>
      </w:tr>
    </w:tbl>
    <w:p>
      <w:pPr>
        <w:pStyle w:val="Heading1"/>
      </w:pPr>
      <w:r>
        <w:t xml:space="preserve">6. Budget Summary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500"/>
        <w:gridCol w:w="2300"/>
      </w:tblGrid>
      <w:tr>
        <w:trPr>
          <w:tblHeader/>
        </w:trPr>
        <w:tc>
          <w:tcPr>
            <w:tcW w:type="dxa" w:w="4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A264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A264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Amount (USD)</w:t>
            </w:r>
          </w:p>
        </w:tc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A264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% of Total</w:t>
            </w:r>
          </w:p>
        </w:tc>
      </w:tr>
      <w:tr>
        <w:tc>
          <w:tcPr>
            <w:tcW w:type="dxa" w:w="4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Data science &amp; model development (staff)</w:t>
            </w:r>
          </w:p>
        </w:tc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$820,000</w:t>
            </w:r>
          </w:p>
        </w:tc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34%</w:t>
            </w:r>
          </w:p>
        </w:tc>
      </w:tr>
      <w:tr>
        <w:tc>
          <w:tcPr>
            <w:tcW w:type="dxa" w:w="4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Engineering &amp; integration (staff)</w:t>
            </w:r>
          </w:p>
        </w:tc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$610,000</w:t>
            </w:r>
          </w:p>
        </w:tc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25%</w:t>
            </w:r>
          </w:p>
        </w:tc>
      </w:tr>
      <w:tr>
        <w:tc>
          <w:tcPr>
            <w:tcW w:type="dxa" w:w="4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Cloud/Snowflake compute &amp; storage</w:t>
            </w:r>
          </w:p>
        </w:tc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$340,000</w:t>
            </w:r>
          </w:p>
        </w:tc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14%</w:t>
            </w:r>
          </w:p>
        </w:tc>
      </w:tr>
      <w:tr>
        <w:tc>
          <w:tcPr>
            <w:tcW w:type="dxa" w:w="4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Third-party fraud data &amp; model tooling licenses</w:t>
            </w:r>
          </w:p>
        </w:tc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$280,000</w:t>
            </w:r>
          </w:p>
        </w:tc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12%</w:t>
            </w:r>
          </w:p>
        </w:tc>
      </w:tr>
      <w:tr>
        <w:tc>
          <w:tcPr>
            <w:tcW w:type="dxa" w:w="4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Model risk validation (external)</w:t>
            </w:r>
          </w:p>
        </w:tc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$150,000</w:t>
            </w:r>
          </w:p>
        </w:tc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6%</w:t>
            </w:r>
          </w:p>
        </w:tc>
      </w:tr>
      <w:tr>
        <w:tc>
          <w:tcPr>
            <w:tcW w:type="dxa" w:w="4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Contingency (9%)</w:t>
            </w:r>
          </w:p>
        </w:tc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$200,000</w:t>
            </w:r>
          </w:p>
        </w:tc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9%</w:t>
            </w:r>
          </w:p>
        </w:tc>
      </w:tr>
      <w:tr>
        <w:tc>
          <w:tcPr>
            <w:tcW w:type="dxa" w:w="4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Total</w:t>
            </w:r>
          </w:p>
        </w:tc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$2,400,000</w:t>
            </w:r>
          </w:p>
        </w:tc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100%</w:t>
            </w:r>
          </w:p>
        </w:tc>
      </w:tr>
    </w:tbl>
    <w:p>
      <w:pPr>
        <w:pStyle w:val="Heading1"/>
      </w:pPr>
      <w:r>
        <w:t xml:space="preserve">7. Assumptions &amp; Constraints</w:t>
      </w:r>
    </w:p>
    <w:p>
      <w:pPr>
        <w:pStyle w:val="Heading2"/>
      </w:pPr>
      <w:r>
        <w:t xml:space="preserve">7.1 Assumptions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Historical transaction data (24+ months) is available and of sufficient quality in the existing data warehouse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Fraud Operations will allocate two senior analysts to the pilot for labeling and feedback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card authorization switch vendor can support a new real-time scoring API call within existing latency budgets</w:t>
      </w:r>
    </w:p>
    <w:p>
      <w:pPr>
        <w:pStyle w:val="Heading2"/>
      </w:pPr>
      <w:r>
        <w:t xml:space="preserve">7.2 Constraints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Go-live must occur before the November – January peak fraud season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Model must be explainable to satisfy Reg E dispute-response and fair-lending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downtime permitted on the production card authorization path during cutover</w:t>
      </w:r>
    </w:p>
    <w:p>
      <w:pPr>
        <w:pStyle w:val="Heading1"/>
      </w:pPr>
      <w:r>
        <w:t xml:space="preserve">8. Approval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900"/>
        <w:gridCol w:w="2600"/>
      </w:tblGrid>
      <w:tr>
        <w:trPr>
          <w:tblHeader/>
        </w:trPr>
        <w:tc>
          <w:tcPr>
            <w:tcW w:type="dxa" w:w="2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A264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Name / Role</w:t>
            </w:r>
          </w:p>
        </w:tc>
        <w:tc>
          <w:tcPr>
            <w:tcW w:type="dxa" w:w="2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A264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A264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Sarah Whitfield – Chief Risk Officer (Sponsor)</w:t>
            </w:r>
          </w:p>
        </w:tc>
        <w:tc>
          <w:tcPr>
            <w:tcW w:type="dxa" w:w="2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Jan 12, 2026</w:t>
            </w:r>
          </w:p>
        </w:tc>
      </w:tr>
      <w:tr>
        <w:tc>
          <w:tcPr>
            <w:tcW w:type="dxa" w:w="2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Mautik Patel – Project Delivery Manager</w:t>
            </w:r>
          </w:p>
        </w:tc>
        <w:tc>
          <w:tcPr>
            <w:tcW w:type="dxa" w:w="2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Jan 12, 2026</w:t>
            </w:r>
          </w:p>
        </w:tc>
      </w:tr>
      <w:tr>
        <w:tc>
          <w:tcPr>
            <w:tcW w:type="dxa" w:w="2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David Okonjo – Head of Fraud Operations</w:t>
            </w:r>
          </w:p>
        </w:tc>
        <w:tc>
          <w:tcPr>
            <w:tcW w:type="dxa" w:w="2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Jan 12, 2026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6" w:space="4"/>
      </w:pBdr>
      <w:tabs>
        <w:tab w:val="right" w:pos="9026"/>
      </w:tabs>
    </w:pPr>
    <w:r>
      <w:rPr>
        <w:color w:val="888888"/>
        <w:sz w:val="16"/>
        <w:szCs w:val="16"/>
      </w:rPr>
      <w:t xml:space="preserve">Confidential – Internal Use Only</w:t>
    </w:r>
    <w:r>
      <w:rPr>
        <w:color w:val="888888"/>
        <w:sz w:val="16"/>
        <w:szCs w:val="16"/>
      </w:rPr>
      <w:t xml:space="preserve">	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A2647" w:sz="6" w:space="4"/>
      </w:pBdr>
      <w:tabs>
        <w:tab w:val="right" w:pos="9026"/>
      </w:tabs>
    </w:pPr>
    <w:r>
      <w:rPr>
        <w:b/>
        <w:bCs/>
        <w:color w:val="0A2647"/>
        <w:sz w:val="16"/>
        <w:szCs w:val="16"/>
      </w:rPr>
      <w:t xml:space="preserve">VERIDIAN BANK</w:t>
    </w:r>
    <w:r>
      <w:rPr>
        <w:color w:val="666666"/>
        <w:sz w:val="16"/>
        <w:szCs w:val="16"/>
      </w:rPr>
      <w:t xml:space="preserve">	SentinelAI Fraud Detection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60"/>
      </w:pPr>
    </w:lvl>
    <w:lvl w:ilvl="1" w15:tentative="1">
      <w:start w:val="1"/>
      <w:numFmt w:val="bullet"/>
      <w:lvlText w:val="–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0A264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b/>
      <w:bCs/>
      <w:color w:val="0A264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Calibri" w:cs="Calibri" w:eastAsia="Calibri" w:hAnsi="Calibri"/>
      <w:b/>
      <w:bCs/>
      <w:color w:val="B8860B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2026-07-02T08:32:28.687Z</dcterms:created>
  <dcterms:modified xsi:type="dcterms:W3CDTF">2026-07-02T08:32:28.687Z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