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A2647"/>
          <w:spacing w:val="20"/>
          <w:sz w:val="30"/>
          <w:szCs w:val="30"/>
        </w:rPr>
        <w:t xml:space="preserve">VERIDIAN BANK</w:t>
      </w:r>
    </w:p>
    <w:p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 xml:space="preserve">SentinelAI Fraud Detection Platform</w:t>
      </w:r>
    </w:p>
    <w:p>
      <w:pPr>
        <w:spacing w:after="100" w:before="200"/>
        <w:jc w:val="center"/>
      </w:pPr>
      <w:r>
        <w:rPr>
          <w:b/>
          <w:bCs/>
          <w:color w:val="B8860B"/>
          <w:spacing w:val="30"/>
          <w:sz w:val="20"/>
          <w:szCs w:val="20"/>
        </w:rPr>
        <w:t xml:space="preserve">STAKEHOLDER REGISTER &amp; COMMUNICATION PLAN</w:t>
      </w:r>
    </w:p>
    <w:p>
      <w:pPr>
        <w:spacing w:after="700"/>
        <w:jc w:val="center"/>
      </w:pPr>
      <w:r>
        <w:rPr>
          <w:b/>
          <w:bCs/>
          <w:color w:val="0A2647"/>
          <w:sz w:val="44"/>
          <w:szCs w:val="44"/>
        </w:rPr>
        <w:t xml:space="preserve">SentinelAI Fraud Detection Platform</w:t>
      </w:r>
    </w:p>
    <w:p>
      <w:pPr>
        <w:spacing w:after="900"/>
        <w:jc w:val="center"/>
      </w:pPr>
      <w:r>
        <w:rPr>
          <w:color w:val="1A1A1A"/>
          <w:sz w:val="24"/>
          <w:szCs w:val="24"/>
        </w:rPr>
        <w:t xml:space="preserve">Stakeholder Analysis, Engagement &amp; Communication Cadence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Document Owner: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Mautik Patel, Project Delivery Manager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Version: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Date: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January 22,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Stakeholder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200"/>
        <w:gridCol w:w="1200"/>
        <w:gridCol w:w="3300"/>
      </w:tblGrid>
      <w:tr>
        <w:trPr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Engagement Strategy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Sarah Whitfield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 / Sponsor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closely – monthly steering committee, immediate escalation of high risks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David Okonjo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 of Fraud Ops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closely – bi-weekly workstream syncs, direct input on case workflow design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Priya Nataraj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 of Data Science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closely – sprint reviews, joint model validation planning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Marcus Webb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 of Card Payments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 satisfied – monthly integration checkpoint, early POC involvement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Compliance / Legal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Risk &amp; Regulatory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 satisfied – engaged from Phase 2 to avoid late-stage rework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Fraud Analysts (front line)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 Users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 informed – UAT participation, training sessions pre-go-live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Experience Team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Downstream Impact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 informed – quarterly updates on false-decline improvement metrics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 IT Infrastructure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Monitor – involved at integration and cutover phases</w:t>
            </w:r>
          </w:p>
        </w:tc>
      </w:tr>
    </w:tbl>
    <w:p>
      <w:pPr>
        <w:pStyle w:val="Heading1"/>
      </w:pPr>
      <w:r>
        <w:t xml:space="preserve">2. Communication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Steering Committee update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Sponsor, PMO, workstream leads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In-person / Teams + deck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team stand-up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Delivery team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Teams call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review &amp; demo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Science, Engineering, Fraud Ops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Bi-weekly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Teams call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Priya N.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 report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Sponsor, Steering Committee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(report template)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Risk &amp; issue review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team, Compliance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Teams call / RAID log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Analyst training &amp; UAT briefing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Fraud Ops analysts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Twice (pre-pilot, pre-go-live)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In-person workshop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David O.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Executive go-live readiness review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CRO, all workstream leads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Once, prior to cutover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In-person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Post-implementation review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Sponsor, Steering Committee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Once, 90 days post go-live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 + presentation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P.</w:t>
            </w:r>
          </w:p>
        </w:tc>
      </w:tr>
    </w:tbl>
    <w:p>
      <w:pPr>
        <w:pStyle w:val="Heading1"/>
      </w:pPr>
      <w:r>
        <w:t xml:space="preserve">3. Escalation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1 – Core team issue: resolved within workstream, logged in RAID log (target: 48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2 – Cross-workstream conflict or medium/high risk: escalated to Project Delivery Manager (target: 3 business days)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3 – Budget, scope, or timeline impact: escalated to Steering Committee at next scheduled review, or emergency session if impact is severe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4 – Regulatory or reputational risk: immediate escalation to CRO and Compliance regardless of scheduled cadence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Confidential – Internal Use Only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647" w:sz="6" w:space="4"/>
      </w:pBdr>
      <w:tabs>
        <w:tab w:val="right" w:pos="9026"/>
      </w:tabs>
    </w:pPr>
    <w:r>
      <w:rPr>
        <w:b/>
        <w:bCs/>
        <w:color w:val="0A2647"/>
        <w:sz w:val="16"/>
        <w:szCs w:val="16"/>
      </w:rPr>
      <w:t xml:space="preserve">VERIDIAN BANK</w:t>
    </w:r>
    <w:r>
      <w:rPr>
        <w:color w:val="666666"/>
        <w:sz w:val="16"/>
        <w:szCs w:val="16"/>
      </w:rPr>
      <w:t xml:space="preserve">	SentinelAI Fraud Detection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A26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A26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B8860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2026-07-02T08:35:47.150Z</dcterms:created>
  <dcterms:modified xsi:type="dcterms:W3CDTF">2026-07-02T08:35:47.151Z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