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F4C81"/>
          <w:sz w:val="44"/>
        </w:rPr>
        <w:t>CytoAssist AI</w:t>
      </w:r>
    </w:p>
    <w:p>
      <w:pPr>
        <w:spacing w:before="0" w:after="280"/>
      </w:pPr>
      <w:r>
        <w:rPr>
          <w:rFonts w:ascii="Arial" w:hAnsi="Arial"/>
          <w:b/>
          <w:color w:val="334155"/>
          <w:sz w:val="28"/>
        </w:rPr>
        <w:t>Especificación Técnica de Componentes y Versiones de Software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4155"/>
                <w:sz w:val="19"/>
              </w:rPr>
              <w:t>Proyecto:</w:t>
            </w:r>
          </w:p>
        </w:tc>
        <w:tc>
          <w:tcPr>
            <w:tcW w:type="dxa" w:w="72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CytoAssist AI - Plataforma de Diagnóstico Citológico Asistido (WSI)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4155"/>
                <w:sz w:val="19"/>
              </w:rPr>
              <w:t>Fecha del Documento:</w:t>
            </w:r>
          </w:p>
        </w:tc>
        <w:tc>
          <w:tcPr>
            <w:tcW w:type="dxa" w:w="72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Septiembre 2026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34155"/>
                <w:sz w:val="19"/>
              </w:rPr>
              <w:t>Entorno de Ejecución:</w:t>
            </w:r>
          </w:p>
        </w:tc>
        <w:tc>
          <w:tcPr>
            <w:tcW w:type="dxa" w:w="72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Python 3.12 (x64) con soporte de Aceleración CUDA / CPU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Arial" w:hAnsi="Arial"/>
          <w:b/>
          <w:color w:val="0F4C81"/>
          <w:sz w:val="26"/>
        </w:rPr>
        <w:t>1. Ficha Técnica Consolidada de Componentes de Software</w:t>
      </w:r>
    </w:p>
    <w:p>
      <w:pPr>
        <w:spacing w:after="160"/>
      </w:pPr>
      <w:r>
        <w:rPr>
          <w:rFonts w:ascii="Arial" w:hAnsi="Arial"/>
          <w:color w:val="1E293B"/>
          <w:sz w:val="20"/>
        </w:rPr>
        <w:t>La siguiente tabla detalla cada uno de los paquetes, librerías y dependencias que forman parte del entorno operativo del software, indicando la versión exacta instalada y la función que desempeña en el pipeline: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728"/>
            <w:shd w:fill="0F4C8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Capa / Módulo</w:t>
            </w:r>
          </w:p>
        </w:tc>
        <w:tc>
          <w:tcPr>
            <w:tcW w:type="dxa" w:w="1872"/>
            <w:shd w:fill="0F4C8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440"/>
            <w:shd w:fill="0F4C8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Versión Exacta</w:t>
            </w:r>
          </w:p>
        </w:tc>
        <w:tc>
          <w:tcPr>
            <w:tcW w:type="dxa" w:w="1296"/>
            <w:shd w:fill="0F4C8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Versión Mín.</w:t>
            </w:r>
          </w:p>
        </w:tc>
        <w:tc>
          <w:tcPr>
            <w:tcW w:type="dxa" w:w="3456"/>
            <w:shd w:fill="0F4C8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Función en el Sistema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Lenguaje Base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Python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3.12.x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1E293B"/>
                <w:sz w:val="17"/>
              </w:rPr>
              <w:t>&gt;= 3.10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Intérprete y entorno de ejecución del pipeline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Framework Web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Django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5.2.17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1E293B"/>
                <w:sz w:val="17"/>
              </w:rPr>
              <w:t>&gt;= 5.0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Backend MVC, enrutamiento, ORM y transacciones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Base de Datos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SQLite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3.x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1E293B"/>
                <w:sz w:val="17"/>
              </w:rPr>
              <w:t>&gt;= 3.35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Persistencia relacional de WSI, ROIs y recuentos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Deep Learning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PyTorch (torch)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2.9.1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1E293B"/>
                <w:sz w:val="17"/>
              </w:rPr>
              <w:t>&gt;= 2.0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Extracción de embeddings con DenseNet-121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Visión / DL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Torchvision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0.24.1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1E293B"/>
                <w:sz w:val="17"/>
              </w:rPr>
              <w:t>&gt;= 0.15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Normalización tensorial y capas convolucionales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Clasificador ML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CatBoost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1.2.10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1E293B"/>
                <w:sz w:val="17"/>
              </w:rPr>
              <w:t>&gt;= 1.1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Clasificación de 6 clases Bethesda por GBDT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Machine Learning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Scikit-Learn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1.6.1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1E293B"/>
                <w:sz w:val="17"/>
              </w:rPr>
              <w:t>&gt;= 1.2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Métricas (ROC-AUC, F1), transformadores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Serialización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Joblib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1.5.2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1E293B"/>
                <w:sz w:val="17"/>
              </w:rPr>
              <w:t>&gt;= 1.2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Persistencia de transformadores y pipelines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Visión Artificial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OpenCV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4.12.0.88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1E293B"/>
                <w:sz w:val="17"/>
              </w:rPr>
              <w:t>&gt;= 4.7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Segmentación HSV, Laplaciano de foco y Canny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Lectura WSI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Tifffile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2026.6.1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1E293B"/>
                <w:sz w:val="17"/>
              </w:rPr>
              <w:t>&gt;= 2023.0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Decodificación piramidal y memmap gigapíxel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Códecs Imagen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ImageCodecs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2026.6.6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1E293B"/>
                <w:sz w:val="17"/>
              </w:rPr>
              <w:t>&gt;= 2023.0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Decodificación rápida JPEG/LZW en TIFF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Manejo Imagen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Pillow (PIL)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12.0.0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1E293B"/>
                <w:sz w:val="17"/>
              </w:rPr>
              <w:t>&gt;= 9.5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Extracción de cultivos (128x128) y miniaturas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Patología Digital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OpenSlide Python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1.4.2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1E293B"/>
                <w:sz w:val="17"/>
              </w:rPr>
              <w:t>&gt;= 1.2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Interoperabilidad con formatos WSI estándar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Cálculo Numérico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NumPy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2.2.6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1E293B"/>
                <w:sz w:val="17"/>
              </w:rPr>
              <w:t>&gt;= 1.24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Matrices gigapíxel, arrays y máscaras binarias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Estructuras Datos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Pandas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2.3.3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1E293B"/>
                <w:sz w:val="17"/>
              </w:rPr>
              <w:t>&gt;= 2.0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Tablas y consolidación de candidatos celulares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Cálculo Científico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SciPy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1.16.3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1E293B"/>
                <w:sz w:val="17"/>
              </w:rPr>
              <w:t>&gt;= 1.10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Estimación KDE para mapas de calor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Visualización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Matplotlib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3.10.6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1E293B"/>
                <w:sz w:val="17"/>
              </w:rPr>
              <w:t>&gt;= 3.7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Generación de gráficos y mapas espaciales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Cache / Colas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Redis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8.0.1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1E293B"/>
                <w:sz w:val="17"/>
              </w:rPr>
              <w:t>&gt;= 5.0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Caché en memoria y mensajería en background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0F4C81"/>
          <w:sz w:val="26"/>
        </w:rPr>
        <w:t>2. Descripción Detallada por Capas de Software</w:t>
      </w:r>
    </w:p>
    <w:p>
      <w:pPr>
        <w:keepNext/>
        <w:spacing w:before="320" w:after="120"/>
      </w:pPr>
      <w:r>
        <w:rPr>
          <w:rFonts w:ascii="Arial" w:hAnsi="Arial"/>
          <w:b/>
          <w:color w:val="334155"/>
          <w:sz w:val="22"/>
        </w:rPr>
        <w:t>2.1. Capa Web y Persistencia de Datos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334155"/>
          <w:sz w:val="19"/>
        </w:rPr>
        <w:t>Django 5.2.17:</w:t>
      </w:r>
      <w:r>
        <w:rPr>
          <w:rFonts w:ascii="Arial" w:hAnsi="Arial"/>
          <w:color w:val="1E293B"/>
          <w:sz w:val="19"/>
        </w:rPr>
        <w:t xml:space="preserve"> Núcleo de la plataforma web. Implementa el patrón Modelo-Plantilla-Vista, sistema de autenticación, ORM para consultas estructuradas, gestión de transacciones atómicas (transaction.atomic) para garantizar consistencia diagnóstica, y enrutamiento modular.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334155"/>
          <w:sz w:val="19"/>
        </w:rPr>
        <w:t>SQLite 3:</w:t>
      </w:r>
      <w:r>
        <w:rPr>
          <w:rFonts w:ascii="Arial" w:hAnsi="Arial"/>
          <w:color w:val="1E293B"/>
          <w:sz w:val="19"/>
        </w:rPr>
        <w:t xml:space="preserve"> Motor de base de datos embebido de alto rendimiento. Almacena metadatos del WSI, coordenadas de ROIs útiles, características celulares extraídas, marcas de tiempo y el diagnóstico preliminar consolidado.</w:t>
      </w:r>
    </w:p>
    <w:p>
      <w:pPr>
        <w:keepNext/>
        <w:spacing w:before="320" w:after="120"/>
      </w:pPr>
      <w:r>
        <w:rPr>
          <w:rFonts w:ascii="Arial" w:hAnsi="Arial"/>
          <w:b/>
          <w:color w:val="334155"/>
          <w:sz w:val="22"/>
        </w:rPr>
        <w:t>2.2. Capa de Inteligencia Artificial y Clasificación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334155"/>
          <w:sz w:val="19"/>
        </w:rPr>
        <w:t>Backbone Extractor de Características (DenseNet-121):</w:t>
      </w:r>
      <w:r>
        <w:rPr>
          <w:rFonts w:ascii="Arial" w:hAnsi="Arial"/>
          <w:color w:val="1E293B"/>
          <w:sz w:val="19"/>
        </w:rPr>
        <w:t xml:space="preserve"> Red convolucional profunda implementada en PyTorch 2.9.1. Recibe cultivos celulares normalizados (224x224 px) y extrae vectores densos de 1024 características semánticas.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334155"/>
          <w:sz w:val="19"/>
        </w:rPr>
        <w:t>Clasificador CatBoost (v1.2.10):</w:t>
      </w:r>
      <w:r>
        <w:rPr>
          <w:rFonts w:ascii="Arial" w:hAnsi="Arial"/>
          <w:color w:val="1E293B"/>
          <w:sz w:val="19"/>
        </w:rPr>
        <w:t xml:space="preserve"> Algoritmo de Gradient Boosted Decision Trees configurado con 500 árboles, profundidad 6 y regularización L2. Clasifica las células en 6 categorías del sistema Bethesda (NILM, ASC-US, LSIL, ASC-H, HSIL, SCC).</w:t>
      </w:r>
    </w:p>
    <w:p>
      <w:pPr>
        <w:keepNext/>
        <w:spacing w:before="320" w:after="120"/>
      </w:pPr>
      <w:r>
        <w:rPr>
          <w:rFonts w:ascii="Arial" w:hAnsi="Arial"/>
          <w:b/>
          <w:color w:val="334155"/>
          <w:sz w:val="22"/>
        </w:rPr>
        <w:t>2.3. Capa de Visión por Computador y Procesamiento WSI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334155"/>
          <w:sz w:val="19"/>
        </w:rPr>
        <w:t>Tifffile 2026.6.1 &amp; ImageCodecs 2026.6.6:</w:t>
      </w:r>
      <w:r>
        <w:rPr>
          <w:rFonts w:ascii="Arial" w:hAnsi="Arial"/>
          <w:color w:val="1E293B"/>
          <w:sz w:val="19"/>
        </w:rPr>
        <w:t xml:space="preserve"> Motor de lectura gigapíxel que permite abrir archivos TIFF piramidales provenientes del escáner MoticEasyScan One mediante mapeo en memoria (memmap), reduciendo el consumo de memoria RAM a fracciones mínimas.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334155"/>
          <w:sz w:val="19"/>
        </w:rPr>
        <w:t>OpenCV 4.12.0.88:</w:t>
      </w:r>
      <w:r>
        <w:rPr>
          <w:rFonts w:ascii="Arial" w:hAnsi="Arial"/>
          <w:color w:val="1E293B"/>
          <w:sz w:val="19"/>
        </w:rPr>
        <w:t xml:space="preserve"> Procesamiento de imágenes para segmentación en espacio de color HSV (separación de tejido vs. artefactos de tinta/burbujas) y cálculo del Focus Score mediante la varianza del operador Laplaciano.</w:t>
      </w:r>
    </w:p>
    <w:p>
      <w:pPr>
        <w:keepNext/>
        <w:spacing w:before="320" w:after="120"/>
      </w:pPr>
      <w:r>
        <w:rPr>
          <w:rFonts w:ascii="Arial" w:hAnsi="Arial"/>
          <w:b/>
          <w:color w:val="334155"/>
          <w:sz w:val="22"/>
        </w:rPr>
        <w:t>2.4. Capa de Frontend e Interacción Clínica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334155"/>
          <w:sz w:val="19"/>
        </w:rPr>
        <w:t>HTML5 &amp; CSS3 (Vanilla Dark Mode):</w:t>
      </w:r>
      <w:r>
        <w:rPr>
          <w:rFonts w:ascii="Arial" w:hAnsi="Arial"/>
          <w:color w:val="1E293B"/>
          <w:sz w:val="19"/>
        </w:rPr>
        <w:t xml:space="preserve"> Interfaz web clínica intuitiva, sin dependencias pesadas de frameworks externos, con diseño adaptable, paleta de colores de alto contraste y tipografía moderna.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334155"/>
          <w:sz w:val="19"/>
        </w:rPr>
        <w:t>JavaScript (ES6+):</w:t>
      </w:r>
      <w:r>
        <w:rPr>
          <w:rFonts w:ascii="Arial" w:hAnsi="Arial"/>
          <w:color w:val="1E293B"/>
          <w:sz w:val="19"/>
        </w:rPr>
        <w:t xml:space="preserve"> Mecanismo asíncrono para monitoreo del avance del análisis por lotes en segundo plano, visor de galería celular interactiva y módulo de descarga estructurada en archivo ZIP.</w:t>
      </w:r>
    </w:p>
    <w:p>
      <w:pPr>
        <w:keepNext/>
        <w:spacing w:before="320" w:after="120"/>
      </w:pPr>
      <w:r>
        <w:rPr>
          <w:rFonts w:ascii="Arial" w:hAnsi="Arial"/>
          <w:b/>
          <w:color w:val="0F4C81"/>
          <w:sz w:val="26"/>
        </w:rPr>
        <w:t>3. Anexo: Archivo de Requerimientos (requirements.txt)</w:t>
      </w:r>
    </w:p>
    <w:p>
      <w:pPr>
        <w:spacing w:after="80"/>
      </w:pPr>
      <w:r>
        <w:rPr>
          <w:rFonts w:ascii="Arial" w:hAnsi="Arial"/>
          <w:sz w:val="19"/>
        </w:rPr>
        <w:t>Lista para instalación directa y replicabilidad del entorno:</w:t>
      </w:r>
    </w:p>
    <w:p>
      <w:pPr>
        <w:spacing w:before="80" w:after="240"/>
      </w:pPr>
      <w:r>
        <w:rPr>
          <w:rFonts w:ascii="Consolas" w:hAnsi="Consolas"/>
          <w:color w:val="0F172A"/>
          <w:sz w:val="17"/>
        </w:rPr>
        <w:t>django&gt;=5.0,&lt;=5.2.17</w:t>
        <w:br/>
        <w:t>numpy==2.2.6</w:t>
        <w:br/>
        <w:t>pandas==2.3.3</w:t>
        <w:br/>
        <w:t>scipy==1.16.3</w:t>
        <w:br/>
        <w:t>matplotlib==3.10.6</w:t>
        <w:br/>
        <w:t>opencv-python==4.12.0.88</w:t>
        <w:br/>
        <w:t>Pillow==12.0.0</w:t>
        <w:br/>
        <w:t>torch==2.9.1</w:t>
        <w:br/>
        <w:t>torchvision==0.24.1</w:t>
        <w:br/>
        <w:t>catboost==1.2.10</w:t>
        <w:br/>
        <w:t>scikit-learn==1.6.1</w:t>
        <w:br/>
        <w:t>joblib==1.5.2</w:t>
        <w:br/>
        <w:t>tifffile==2026.6.1</w:t>
        <w:br/>
        <w:t>imagecodecs==2026.6.6</w:t>
        <w:br/>
        <w:t>redis==8.0.1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