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sz w:val="40"/>
          <w:szCs w:val="40"/>
          <w:rtl w:val="0"/>
        </w:rPr>
        <w:t xml:space="preserve">DESIGN PATTERN ADOTTATI</w:t>
      </w:r>
    </w:p>
    <w:p w:rsidR="00000000" w:rsidDel="00000000" w:rsidP="00000000" w:rsidRDefault="00000000" w:rsidRPr="00000000" w14:paraId="00000002">
      <w:pPr>
        <w:ind w:left="0" w:firstLine="0"/>
        <w:rPr>
          <w:sz w:val="24"/>
          <w:szCs w:val="24"/>
        </w:rPr>
      </w:pPr>
      <w:r w:rsidDel="00000000" w:rsidR="00000000" w:rsidRPr="00000000">
        <w:rPr>
          <w:rtl w:val="0"/>
        </w:rPr>
      </w:r>
    </w:p>
    <w:p w:rsidR="00000000" w:rsidDel="00000000" w:rsidP="00000000" w:rsidRDefault="00000000" w:rsidRPr="00000000" w14:paraId="00000003">
      <w:pPr>
        <w:numPr>
          <w:ilvl w:val="0"/>
          <w:numId w:val="1"/>
        </w:numPr>
        <w:ind w:left="720" w:hanging="360"/>
        <w:rPr>
          <w:sz w:val="24"/>
          <w:szCs w:val="24"/>
          <w:u w:val="none"/>
        </w:rPr>
      </w:pPr>
      <w:r w:rsidDel="00000000" w:rsidR="00000000" w:rsidRPr="00000000">
        <w:rPr>
          <w:b w:val="1"/>
          <w:bCs w:val="1"/>
          <w:sz w:val="24"/>
          <w:szCs w:val="24"/>
          <w:rtl w:val="0"/>
        </w:rPr>
        <w:t xml:space="preserve">Facade</w:t>
      </w:r>
      <w:r w:rsidDel="00000000" w:rsidR="00000000" w:rsidRPr="00000000">
        <w:rPr>
          <w:sz w:val="24"/>
          <w:szCs w:val="24"/>
          <w:rtl w:val="0"/>
        </w:rPr>
        <w:t xml:space="preserve">:</w:t>
      </w:r>
    </w:p>
    <w:p w:rsidR="00000000" w:rsidDel="00000000" w:rsidP="00000000" w:rsidRDefault="00000000" w:rsidRPr="00000000" w14:paraId="00000004">
      <w:pPr>
        <w:ind w:left="720" w:firstLine="0"/>
        <w:rPr>
          <w:sz w:val="24"/>
          <w:szCs w:val="24"/>
        </w:rPr>
      </w:pPr>
      <w:r w:rsidDel="00000000" w:rsidR="00000000" w:rsidRPr="00000000">
        <w:rPr>
          <w:sz w:val="24"/>
          <w:szCs w:val="24"/>
          <w:rtl w:val="0"/>
        </w:rPr>
        <w:t xml:space="preserve">Abbiamo usato questo pattern tramite la classe Facciata per avere un’unica interfaccia semplice utilizzabile dalle classi ControlloreDiabetologo, ControlloreLogin e ControllorePaziente, in modo da separare il sottosistema che gestisce la logica di sistema dal Presentation Layer</w:t>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b w:val="1"/>
          <w:bCs w:val="1"/>
          <w:sz w:val="24"/>
          <w:szCs w:val="24"/>
          <w:rtl w:val="0"/>
        </w:rPr>
        <w:t xml:space="preserve">Abstract Factory</w:t>
      </w:r>
      <w:r w:rsidDel="00000000" w:rsidR="00000000" w:rsidRPr="00000000">
        <w:rPr>
          <w:sz w:val="24"/>
          <w:szCs w:val="24"/>
          <w:rtl w:val="0"/>
        </w:rPr>
        <w:t xml:space="preserve">: </w:t>
      </w:r>
    </w:p>
    <w:p w:rsidR="00000000" w:rsidDel="00000000" w:rsidP="00000000" w:rsidRDefault="00000000" w:rsidRPr="00000000" w14:paraId="00000006">
      <w:pPr>
        <w:ind w:left="720" w:firstLine="0"/>
        <w:rPr>
          <w:sz w:val="24"/>
          <w:szCs w:val="24"/>
        </w:rPr>
      </w:pPr>
      <w:r w:rsidDel="00000000" w:rsidR="00000000" w:rsidRPr="00000000">
        <w:rPr>
          <w:sz w:val="24"/>
          <w:szCs w:val="24"/>
          <w:rtl w:val="0"/>
        </w:rPr>
        <w:t xml:space="preserve">Per gestire l’inserimento di una segnalazione, abbiamo sviluppato una classe chiamata “SegnalazioneAstratta” per poter istanziare diversi tipi di segnalazione, prodotti che appartengono quindi alla stessa famiglia, senza mostrare direttamente le classi sottostanti. </w:t>
      </w:r>
    </w:p>
    <w:p w:rsidR="00000000" w:rsidDel="00000000" w:rsidP="00000000" w:rsidRDefault="00000000" w:rsidRPr="00000000" w14:paraId="00000007">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