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200"/>
        <w:jc w:val="left"/>
      </w:pPr>
      <w:r>
        <w:rPr>
          <w:rFonts w:ascii="Arial" w:cs="Arial" w:eastAsia="Arial" w:hAnsi="Arial"/>
          <w:b/>
          <w:bCs/>
          <w:i w:val="false"/>
          <w:iCs w:val="false"/>
          <w:color w:val="000000"/>
          <w:sz w:val="24"/>
          <w:szCs w:val="24"/>
        </w:rPr>
        <w:t xml:space="preserve">RE: Clinical Peer Review Request — A Trauma Education Curriculum</w:t>
      </w:r>
    </w:p>
    <w:p>
      <w:pPr>
        <w:spacing w:after="80"/>
      </w:pPr>
    </w:p>
    <w:p>
      <w:pPr>
        <w:spacing w:after="200"/>
        <w:jc w:val="left"/>
      </w:pPr>
      <w:r>
        <w:rPr>
          <w:rFonts w:ascii="Arial" w:cs="Arial" w:eastAsia="Arial" w:hAnsi="Arial"/>
          <w:b w:val="false"/>
          <w:bCs w:val="false"/>
          <w:i/>
          <w:iCs/>
          <w:color w:val="000000"/>
          <w:sz w:val="22"/>
          <w:szCs w:val="22"/>
        </w:rPr>
        <w:t xml:space="preserve">From the Storm to the Fire: A 17-Session Forensic Audit of Complex Trauma</w:t>
      </w:r>
    </w:p>
    <w:p>
      <w:pPr>
        <w:pBdr>
          <w:bottom w:val="single" w:color="CCCCCC" w:sz="4"/>
        </w:pBdr>
        <w:spacing w:before="160" w:after="160"/>
      </w:pPr>
      <w:r>
        <w:t xml:space="preserve"/>
      </w:r>
    </w:p>
    <w:p>
      <w:pPr>
        <w:spacing w:after="160"/>
      </w:pPr>
    </w:p>
    <w:p>
      <w:pPr>
        <w:spacing w:after="200"/>
        <w:jc w:val="left"/>
      </w:pPr>
      <w:r>
        <w:rPr>
          <w:rFonts w:ascii="Arial" w:cs="Arial" w:eastAsia="Arial" w:hAnsi="Arial"/>
          <w:b w:val="false"/>
          <w:bCs w:val="false"/>
          <w:i w:val="false"/>
          <w:iCs w:val="false"/>
          <w:color w:val="000000"/>
          <w:sz w:val="22"/>
          <w:szCs w:val="22"/>
        </w:rPr>
        <w:t xml:space="preserve">To [Name] and the Clinical Team at [Organization],</w:t>
      </w:r>
    </w:p>
    <w:p>
      <w:pPr>
        <w:spacing w:after="160"/>
      </w:pPr>
    </w:p>
    <w:p>
      <w:pPr>
        <w:spacing w:after="200"/>
        <w:jc w:val="left"/>
      </w:pPr>
      <w:r>
        <w:rPr>
          <w:rFonts w:ascii="Arial" w:cs="Arial" w:eastAsia="Arial" w:hAnsi="Arial"/>
          <w:b w:val="false"/>
          <w:bCs w:val="false"/>
          <w:i w:val="false"/>
          <w:iCs w:val="false"/>
          <w:color w:val="000000"/>
          <w:sz w:val="22"/>
          <w:szCs w:val="22"/>
        </w:rPr>
        <w:t xml:space="preserve">I want to tell you about a moment that isn't in any clinical training I've encountered.</w:t>
      </w:r>
    </w:p>
    <w:p>
      <w:pPr>
        <w:spacing w:after="160"/>
      </w:pPr>
    </w:p>
    <w:p>
      <w:pPr>
        <w:spacing w:after="200"/>
        <w:jc w:val="left"/>
      </w:pPr>
      <w:r>
        <w:rPr>
          <w:rFonts w:ascii="Arial" w:cs="Arial" w:eastAsia="Arial" w:hAnsi="Arial"/>
          <w:b w:val="false"/>
          <w:bCs w:val="false"/>
          <w:i w:val="false"/>
          <w:iCs w:val="false"/>
          <w:color w:val="000000"/>
          <w:sz w:val="22"/>
          <w:szCs w:val="22"/>
        </w:rPr>
        <w:t xml:space="preserve">A patient misses a court date. The system issues a warrant. The warrant increases the patient's stress load. The increased stress load makes the freeze response more likely. The patient misses the next court date. Another warrant. More stress. More freeze.</w:t>
      </w:r>
    </w:p>
    <w:p>
      <w:pPr>
        <w:spacing w:after="160"/>
      </w:pPr>
    </w:p>
    <w:p>
      <w:pPr>
        <w:spacing w:after="200"/>
        <w:jc w:val="left"/>
      </w:pPr>
      <w:r>
        <w:rPr>
          <w:rFonts w:ascii="Arial" w:cs="Arial" w:eastAsia="Arial" w:hAnsi="Arial"/>
          <w:b w:val="false"/>
          <w:bCs w:val="false"/>
          <w:i w:val="false"/>
          <w:iCs w:val="false"/>
          <w:color w:val="000000"/>
          <w:sz w:val="22"/>
          <w:szCs w:val="22"/>
        </w:rPr>
        <w:t xml:space="preserve">The system reads every missed appearance as defiance. The patient reads every warrant as confirmation that they are, as they have believed since childhood, fundamentally the problem. The spiral tightens. Nobody in the loop asks what is actually happening in the patient's nervous system when the appointment comes due.</w:t>
      </w:r>
    </w:p>
    <w:p>
      <w:pPr>
        <w:spacing w:after="160"/>
      </w:pPr>
    </w:p>
    <w:p>
      <w:pPr>
        <w:spacing w:after="200"/>
        <w:jc w:val="left"/>
      </w:pPr>
      <w:r>
        <w:rPr>
          <w:rFonts w:ascii="Arial" w:cs="Arial" w:eastAsia="Arial" w:hAnsi="Arial"/>
          <w:b w:val="false"/>
          <w:bCs w:val="false"/>
          <w:i w:val="false"/>
          <w:iCs w:val="false"/>
          <w:color w:val="000000"/>
          <w:sz w:val="22"/>
          <w:szCs w:val="22"/>
        </w:rPr>
        <w:t xml:space="preserve">I know this loop from the inside. I have been in it. And I have spent the last several years mapping it — not as a case study, but as a forensic audit of my own survival system — because I believe the gap between what clinical training describes and what a dysregulated nervous system actually experiences at 3AM is costing people their lives.</w:t>
      </w:r>
    </w:p>
    <w:p>
      <w:pPr>
        <w:spacing w:after="240"/>
      </w:pPr>
    </w:p>
    <w:p>
      <w:pPr>
        <w:spacing w:after="200"/>
        <w:jc w:val="left"/>
      </w:pPr>
      <w:r>
        <w:rPr>
          <w:rFonts w:ascii="Arial" w:cs="Arial" w:eastAsia="Arial" w:hAnsi="Arial"/>
          <w:b w:val="false"/>
          <w:bCs w:val="false"/>
          <w:i w:val="false"/>
          <w:iCs w:val="false"/>
          <w:color w:val="000000"/>
          <w:sz w:val="22"/>
          <w:szCs w:val="22"/>
        </w:rPr>
        <w:t xml:space="preserve">My name is Daniel Bret Lingar. I am a survivor of prolonged developmental and relational trauma — NICU, domestic violence, twenty years inside a relationship that systematically rerouted my perception of my own internal states through institutional authority, three failed rehab attempts including a three-day medical discharge for lack of a CPAP machine, and a legal system that repeatedly punished the symptoms of my dysregulation as moral defiance.</w:t>
      </w:r>
    </w:p>
    <w:p>
      <w:pPr>
        <w:spacing w:after="160"/>
      </w:pPr>
    </w:p>
    <w:p>
      <w:pPr>
        <w:spacing w:after="200"/>
        <w:jc w:val="left"/>
      </w:pPr>
      <w:r>
        <w:rPr>
          <w:rFonts w:ascii="Arial" w:cs="Arial" w:eastAsia="Arial" w:hAnsi="Arial"/>
          <w:b w:val="false"/>
          <w:bCs w:val="false"/>
          <w:i w:val="false"/>
          <w:iCs w:val="false"/>
          <w:color w:val="000000"/>
          <w:sz w:val="22"/>
          <w:szCs w:val="22"/>
        </w:rPr>
        <w:t xml:space="preserve">I am also the author of From the Storm to the Fire, a memoir that the clinical team at [Organization] may find useful — not as a personal narrative, but as primary source material for the 17-session trauma education curriculum I am asking you to review.</w:t>
      </w:r>
    </w:p>
    <w:p>
      <w:pPr>
        <w:spacing w:after="240"/>
      </w:pPr>
    </w:p>
    <w:p>
      <w:pPr>
        <w:spacing w:after="200"/>
        <w:jc w:val="left"/>
      </w:pPr>
      <w:r>
        <w:rPr>
          <w:rFonts w:ascii="Arial" w:cs="Arial" w:eastAsia="Arial" w:hAnsi="Arial"/>
          <w:b/>
          <w:bCs/>
          <w:i w:val="false"/>
          <w:iCs w:val="false"/>
          <w:color w:val="000000"/>
          <w:sz w:val="24"/>
          <w:szCs w:val="24"/>
        </w:rPr>
        <w:t xml:space="preserve">What This Curriculum Is</w:t>
      </w:r>
    </w:p>
    <w:p>
      <w:pPr>
        <w:spacing w:after="160"/>
      </w:pPr>
    </w:p>
    <w:p>
      <w:pPr>
        <w:spacing w:after="200"/>
        <w:jc w:val="left"/>
      </w:pPr>
      <w:r>
        <w:rPr>
          <w:rFonts w:ascii="Arial" w:cs="Arial" w:eastAsia="Arial" w:hAnsi="Arial"/>
          <w:b w:val="false"/>
          <w:bCs w:val="false"/>
          <w:i w:val="false"/>
          <w:iCs w:val="false"/>
          <w:color w:val="000000"/>
          <w:sz w:val="22"/>
          <w:szCs w:val="22"/>
        </w:rPr>
        <w:t xml:space="preserve">What Really Happened: Understanding Complex PTSD — From Science to Survival to Healing is a 17-session course built around one documented life used as a live case study. Every clinical concept — every mechanism, every framework — is grounded in specific rendered moments from that life. Not because my story matters more than your patients' stories. Because abstraction is the enemy of understanding, and a concept that can only be held in the head cannot be used in the body.</w:t>
      </w:r>
    </w:p>
    <w:p>
      <w:pPr>
        <w:spacing w:after="160"/>
      </w:pPr>
    </w:p>
    <w:p>
      <w:pPr>
        <w:spacing w:after="200"/>
        <w:jc w:val="left"/>
      </w:pPr>
      <w:r>
        <w:rPr>
          <w:rFonts w:ascii="Arial" w:cs="Arial" w:eastAsia="Arial" w:hAnsi="Arial"/>
          <w:b w:val="false"/>
          <w:bCs w:val="false"/>
          <w:i w:val="false"/>
          <w:iCs w:val="false"/>
          <w:color w:val="000000"/>
          <w:sz w:val="22"/>
          <w:szCs w:val="22"/>
        </w:rPr>
        <w:t xml:space="preserve">The curriculum was built to a specific standard: each session opens with the weight of what was carried before any clinical term arrives. The counterintuitive mechanism — the thing that explains why a patient behaves in ways that look like defiance, non-compliance, or self-destruction — gets its own paragraph and its own demonstration. Discussion questions are personal and specific, not philosophical. The grounding exercises are functional, not decorative.</w:t>
      </w:r>
    </w:p>
    <w:p>
      <w:pPr>
        <w:spacing w:after="160"/>
      </w:pPr>
    </w:p>
    <w:p>
      <w:pPr>
        <w:spacing w:after="200"/>
        <w:jc w:val="left"/>
      </w:pPr>
      <w:r>
        <w:rPr>
          <w:rFonts w:ascii="Arial" w:cs="Arial" w:eastAsia="Arial" w:hAnsi="Arial"/>
          <w:b w:val="false"/>
          <w:bCs w:val="false"/>
          <w:i w:val="false"/>
          <w:iCs w:val="false"/>
          <w:color w:val="000000"/>
          <w:sz w:val="22"/>
          <w:szCs w:val="22"/>
        </w:rPr>
        <w:t xml:space="preserve">The result is a curriculum that covers the same clinical ground as standard CPTSD training — the amygdala hijack, the hippocampal date-stamp failure, the window of tolerance, polyvagal theory, trauma bonding, narrative integration, shame versus guilt, institutional betrayal — while grounding every concept in the specific body-texture of what those mechanisms actually feel like from inside the nervous system experiencing them.</w:t>
      </w:r>
    </w:p>
    <w:p>
      <w:pPr>
        <w:spacing w:after="240"/>
      </w:pPr>
    </w:p>
    <w:p>
      <w:pPr>
        <w:spacing w:after="200"/>
        <w:jc w:val="left"/>
      </w:pPr>
      <w:r>
        <w:rPr>
          <w:rFonts w:ascii="Arial" w:cs="Arial" w:eastAsia="Arial" w:hAnsi="Arial"/>
          <w:b/>
          <w:bCs/>
          <w:i w:val="false"/>
          <w:iCs w:val="false"/>
          <w:color w:val="000000"/>
          <w:sz w:val="24"/>
          <w:szCs w:val="24"/>
        </w:rPr>
        <w:t xml:space="preserve">Three Things This Curriculum Names That Clinical Training Often Misses</w:t>
      </w:r>
    </w:p>
    <w:p>
      <w:pPr>
        <w:spacing w:after="160"/>
      </w:pPr>
    </w:p>
    <w:p>
      <w:pPr>
        <w:spacing w:after="80"/>
        <w:jc w:val="left"/>
      </w:pPr>
      <w:r>
        <w:rPr>
          <w:rFonts w:ascii="Arial" w:cs="Arial" w:eastAsia="Arial" w:hAnsi="Arial"/>
          <w:b/>
          <w:bCs/>
          <w:i w:val="false"/>
          <w:iCs w:val="false"/>
          <w:color w:val="000000"/>
          <w:sz w:val="22"/>
          <w:szCs w:val="22"/>
        </w:rPr>
        <w:t xml:space="preserve">The regulation tax.</w:t>
      </w:r>
    </w:p>
    <w:p>
      <w:pPr>
        <w:spacing w:after="200"/>
        <w:jc w:val="left"/>
      </w:pPr>
      <w:r>
        <w:rPr>
          <w:rFonts w:ascii="Arial" w:cs="Arial" w:eastAsia="Arial" w:hAnsi="Arial"/>
          <w:b w:val="false"/>
          <w:bCs w:val="false"/>
          <w:i w:val="false"/>
          <w:iCs w:val="false"/>
          <w:color w:val="000000"/>
          <w:sz w:val="22"/>
          <w:szCs w:val="22"/>
        </w:rPr>
        <w:t xml:space="preserve">The percentage of available cognitive and emotional capacity that goes to maintaining baseline regulation before any functional task begins. For a nervous system calibrated to chronic threat, this overhead is very high. What remains for sequencing, planning, and follow-through — the machinery of ordinary adult compliance — is what is left after the tax has been paid. This is why a patient can appear functional in a clinical session and then miss every follow-up appointment. The session itself may have consumed the remaining budget.</w:t>
      </w:r>
    </w:p>
    <w:p>
      <w:pPr>
        <w:spacing w:after="160"/>
      </w:pPr>
    </w:p>
    <w:p>
      <w:pPr>
        <w:spacing w:after="80"/>
        <w:jc w:val="left"/>
      </w:pPr>
      <w:r>
        <w:rPr>
          <w:rFonts w:ascii="Arial" w:cs="Arial" w:eastAsia="Arial" w:hAnsi="Arial"/>
          <w:b/>
          <w:bCs/>
          <w:i w:val="false"/>
          <w:iCs w:val="false"/>
          <w:color w:val="000000"/>
          <w:sz w:val="22"/>
          <w:szCs w:val="22"/>
        </w:rPr>
        <w:t xml:space="preserve">The date-stamp gap.</w:t>
      </w:r>
    </w:p>
    <w:p>
      <w:pPr>
        <w:spacing w:after="200"/>
        <w:jc w:val="left"/>
      </w:pPr>
      <w:r>
        <w:rPr>
          <w:rFonts w:ascii="Arial" w:cs="Arial" w:eastAsia="Arial" w:hAnsi="Arial"/>
          <w:b w:val="false"/>
          <w:bCs w:val="false"/>
          <w:i w:val="false"/>
          <w:iCs w:val="false"/>
          <w:color w:val="000000"/>
          <w:sz w:val="22"/>
          <w:szCs w:val="22"/>
        </w:rPr>
        <w:t xml:space="preserve">When chronic cortisol inhibits hippocampal function, traumatic memories don't get filed as past. They stay present-tense. A sensory trigger doesn't retrieve a memory — it reactivates a state. The patient isn't being dramatic or avoidant. The patient's nervous system is reliving the original experience with the same physiological intensity as the first time, in a body that may appear calm to everyone in the room. Understanding this changes what "resistance" looks like in a clinical setting.</w:t>
      </w:r>
    </w:p>
    <w:p>
      <w:pPr>
        <w:spacing w:after="160"/>
      </w:pPr>
    </w:p>
    <w:p>
      <w:pPr>
        <w:spacing w:after="80"/>
        <w:jc w:val="left"/>
      </w:pPr>
      <w:r>
        <w:rPr>
          <w:rFonts w:ascii="Arial" w:cs="Arial" w:eastAsia="Arial" w:hAnsi="Arial"/>
          <w:b/>
          <w:bCs/>
          <w:i w:val="false"/>
          <w:iCs w:val="false"/>
          <w:color w:val="000000"/>
          <w:sz w:val="22"/>
          <w:szCs w:val="22"/>
        </w:rPr>
        <w:t xml:space="preserve">The loosening before the quiet.</w:t>
      </w:r>
    </w:p>
    <w:p>
      <w:pPr>
        <w:spacing w:after="200"/>
        <w:jc w:val="left"/>
      </w:pPr>
      <w:r>
        <w:rPr>
          <w:rFonts w:ascii="Arial" w:cs="Arial" w:eastAsia="Arial" w:hAnsi="Arial"/>
          <w:b w:val="false"/>
          <w:bCs w:val="false"/>
          <w:i w:val="false"/>
          <w:iCs w:val="false"/>
          <w:color w:val="000000"/>
          <w:sz w:val="22"/>
          <w:szCs w:val="22"/>
        </w:rPr>
        <w:t xml:space="preserve">When the regulation strategies that have been containing the alarm — substances, overwork, performance, perpetual motion — begin to loosen in early treatment, the alarm gets louder before it gets quieter. Patients who are beginning to heal often present as more dysregulated than they were before treatment. Without a framework for this counterintuitive progression, clinicians and patients alike interpret the increase in distress as treatment failure. Patients disengage at exactly the moment the treatment is beginning to work.</w:t>
      </w:r>
    </w:p>
    <w:p>
      <w:pPr>
        <w:spacing w:after="240"/>
      </w:pPr>
    </w:p>
    <w:p>
      <w:pPr>
        <w:spacing w:after="200"/>
        <w:jc w:val="left"/>
      </w:pPr>
      <w:r>
        <w:rPr>
          <w:rFonts w:ascii="Arial" w:cs="Arial" w:eastAsia="Arial" w:hAnsi="Arial"/>
          <w:b/>
          <w:bCs/>
          <w:i w:val="false"/>
          <w:iCs w:val="false"/>
          <w:color w:val="000000"/>
          <w:sz w:val="24"/>
          <w:szCs w:val="24"/>
        </w:rPr>
        <w:t xml:space="preserve">The Ask</w:t>
      </w:r>
    </w:p>
    <w:p>
      <w:pPr>
        <w:spacing w:after="160"/>
      </w:pPr>
    </w:p>
    <w:p>
      <w:pPr>
        <w:spacing w:after="200"/>
        <w:jc w:val="left"/>
      </w:pPr>
      <w:r>
        <w:rPr>
          <w:rFonts w:ascii="Arial" w:cs="Arial" w:eastAsia="Arial" w:hAnsi="Arial"/>
          <w:b w:val="false"/>
          <w:bCs w:val="false"/>
          <w:i w:val="false"/>
          <w:iCs w:val="false"/>
          <w:color w:val="000000"/>
          <w:sz w:val="22"/>
          <w:szCs w:val="22"/>
        </w:rPr>
        <w:t xml:space="preserve">I am not seeking a platform. I am not pitching a product. I am asking for clinical peer review.</w:t>
      </w:r>
    </w:p>
    <w:p>
      <w:pPr>
        <w:spacing w:after="160"/>
      </w:pPr>
    </w:p>
    <w:p>
      <w:pPr>
        <w:spacing w:after="200"/>
        <w:jc w:val="left"/>
      </w:pPr>
      <w:r>
        <w:rPr>
          <w:rFonts w:ascii="Arial" w:cs="Arial" w:eastAsia="Arial" w:hAnsi="Arial"/>
          <w:b w:val="false"/>
          <w:bCs w:val="false"/>
          <w:i w:val="false"/>
          <w:iCs w:val="false"/>
          <w:color w:val="000000"/>
          <w:sz w:val="22"/>
          <w:szCs w:val="22"/>
        </w:rPr>
        <w:t xml:space="preserve">I would like to share the Master Syllabus and two sample sessions — Session 12 (Crisis, Suicide Risk, and Staying Alive) and Session 6 (What Healing Actually Looks Like) — with your clinical team and hear whether what I have built reflects what you see in your patients, names what your training has given you language for, and identifies gaps that your existing curriculum does not address.</w:t>
      </w:r>
    </w:p>
    <w:p>
      <w:pPr>
        <w:spacing w:after="160"/>
      </w:pPr>
    </w:p>
    <w:p>
      <w:pPr>
        <w:spacing w:after="200"/>
        <w:jc w:val="left"/>
      </w:pPr>
      <w:r>
        <w:rPr>
          <w:rFonts w:ascii="Arial" w:cs="Arial" w:eastAsia="Arial" w:hAnsi="Arial"/>
          <w:b w:val="false"/>
          <w:bCs w:val="false"/>
          <w:i w:val="false"/>
          <w:iCs w:val="false"/>
          <w:color w:val="000000"/>
          <w:sz w:val="22"/>
          <w:szCs w:val="22"/>
        </w:rPr>
        <w:t xml:space="preserve">If it does, I would welcome a conversation about how this curriculum might be adapted for use in your clinical setting, whether as a psychoeducation resource for patients, a training supplement for clinical staff, or a referral resource for patients between sessions.</w:t>
      </w:r>
    </w:p>
    <w:p>
      <w:pPr>
        <w:spacing w:after="160"/>
      </w:pPr>
    </w:p>
    <w:p>
      <w:pPr>
        <w:spacing w:after="200"/>
        <w:jc w:val="left"/>
      </w:pPr>
      <w:r>
        <w:rPr>
          <w:rFonts w:ascii="Arial" w:cs="Arial" w:eastAsia="Arial" w:hAnsi="Arial"/>
          <w:b w:val="false"/>
          <w:bCs w:val="false"/>
          <w:i w:val="false"/>
          <w:iCs w:val="false"/>
          <w:color w:val="000000"/>
          <w:sz w:val="22"/>
          <w:szCs w:val="22"/>
        </w:rPr>
        <w:t xml:space="preserve">If it doesn't — if your clinical review identifies gaps, inaccuracies, or places where the framework needs to be stronger — I want to know that too. The point of peer review is accuracy. The patients this curriculum is designed to reach deserve accuracy.</w:t>
      </w:r>
    </w:p>
    <w:p>
      <w:pPr>
        <w:spacing w:after="240"/>
      </w:pPr>
    </w:p>
    <w:p>
      <w:pPr>
        <w:pBdr>
          <w:bottom w:val="single" w:color="CCCCCC" w:sz="4"/>
        </w:pBdr>
        <w:spacing w:before="160" w:after="160"/>
      </w:pPr>
      <w:r>
        <w:t xml:space="preserve"/>
      </w:r>
    </w:p>
    <w:p>
      <w:pPr>
        <w:spacing w:after="200"/>
      </w:pPr>
    </w:p>
    <w:p>
      <w:pPr>
        <w:spacing w:after="200"/>
        <w:jc w:val="left"/>
      </w:pPr>
      <w:r>
        <w:rPr>
          <w:rFonts w:ascii="Arial" w:cs="Arial" w:eastAsia="Arial" w:hAnsi="Arial"/>
          <w:b w:val="false"/>
          <w:bCs w:val="false"/>
          <w:i w:val="false"/>
          <w:iCs w:val="false"/>
          <w:color w:val="000000"/>
          <w:sz w:val="22"/>
          <w:szCs w:val="22"/>
        </w:rPr>
        <w:t xml:space="preserve">The most consistent failure I experienced in every clinical setting I moved through was not a lack of care. It was a lack of the right language. Nobody told me at seven that hiding under a blanket during violence was a freeze response. Nobody told me at seventeen that taking a pill for the quiet in my head was self-medication. I was punished for symptoms that had names and explanations — in systems that were supposed to have those names and explanations.</w:t>
      </w:r>
    </w:p>
    <w:p>
      <w:pPr>
        <w:spacing w:after="160"/>
      </w:pPr>
    </w:p>
    <w:p>
      <w:pPr>
        <w:spacing w:after="200"/>
        <w:jc w:val="left"/>
      </w:pPr>
      <w:r>
        <w:rPr>
          <w:rFonts w:ascii="Arial" w:cs="Arial" w:eastAsia="Arial" w:hAnsi="Arial"/>
          <w:b w:val="false"/>
          <w:bCs w:val="false"/>
          <w:i w:val="false"/>
          <w:iCs w:val="false"/>
          <w:color w:val="000000"/>
          <w:sz w:val="22"/>
          <w:szCs w:val="22"/>
        </w:rPr>
        <w:t xml:space="preserve">This curriculum is an attempt to close that gap. I believe it is ready for clinical eyes. I would be grateful for yours.</w:t>
      </w:r>
    </w:p>
    <w:p>
      <w:pPr>
        <w:spacing w:after="240"/>
      </w:pPr>
    </w:p>
    <w:p>
      <w:pPr>
        <w:spacing w:after="200"/>
        <w:jc w:val="left"/>
      </w:pPr>
      <w:r>
        <w:rPr>
          <w:rFonts w:ascii="Arial" w:cs="Arial" w:eastAsia="Arial" w:hAnsi="Arial"/>
          <w:b w:val="false"/>
          <w:bCs w:val="false"/>
          <w:i w:val="false"/>
          <w:iCs w:val="false"/>
          <w:color w:val="000000"/>
          <w:sz w:val="22"/>
          <w:szCs w:val="22"/>
        </w:rPr>
        <w:t xml:space="preserve">Respectfully,</w:t>
      </w:r>
    </w:p>
    <w:p>
      <w:pPr>
        <w:spacing w:after="80"/>
      </w:pPr>
    </w:p>
    <w:p>
      <w:pPr>
        <w:spacing w:after="200"/>
        <w:jc w:val="left"/>
      </w:pPr>
      <w:r>
        <w:rPr>
          <w:rFonts w:ascii="Arial" w:cs="Arial" w:eastAsia="Arial" w:hAnsi="Arial"/>
          <w:b/>
          <w:bCs/>
          <w:i w:val="false"/>
          <w:iCs w:val="false"/>
          <w:color w:val="000000"/>
          <w:sz w:val="22"/>
          <w:szCs w:val="22"/>
        </w:rPr>
        <w:t xml:space="preserve">Daniel Bret Lingar</w:t>
      </w:r>
    </w:p>
    <w:p>
      <w:pPr>
        <w:spacing w:after="200"/>
        <w:jc w:val="left"/>
      </w:pPr>
      <w:r>
        <w:rPr>
          <w:rFonts w:ascii="Arial" w:cs="Arial" w:eastAsia="Arial" w:hAnsi="Arial"/>
          <w:b w:val="false"/>
          <w:bCs w:val="false"/>
          <w:i w:val="false"/>
          <w:iCs w:val="false"/>
          <w:color w:val="000000"/>
          <w:sz w:val="22"/>
          <w:szCs w:val="22"/>
        </w:rPr>
        <w:t xml:space="preserve">Author, From the Storm to the Fire</w:t>
      </w:r>
    </w:p>
    <w:p>
      <w:pPr>
        <w:spacing w:after="200"/>
        <w:jc w:val="left"/>
      </w:pPr>
      <w:r>
        <w:rPr>
          <w:rFonts w:ascii="Arial" w:cs="Arial" w:eastAsia="Arial" w:hAnsi="Arial"/>
          <w:b w:val="false"/>
          <w:bCs w:val="false"/>
          <w:i w:val="false"/>
          <w:iCs w:val="false"/>
          <w:color w:val="000000"/>
          <w:sz w:val="22"/>
          <w:szCs w:val="22"/>
        </w:rPr>
        <w:t xml:space="preserve">Instructor, What Really Happened: A Trauma Education Series</w:t>
      </w:r>
    </w:p>
    <w:p>
      <w:pPr>
        <w:spacing w:after="80"/>
      </w:pPr>
    </w:p>
    <w:p>
      <w:pPr>
        <w:spacing w:after="200"/>
        <w:jc w:val="left"/>
      </w:pPr>
      <w:r>
        <w:rPr>
          <w:rFonts w:ascii="Arial" w:cs="Arial" w:eastAsia="Arial" w:hAnsi="Arial"/>
          <w:b w:val="false"/>
          <w:bCs w:val="false"/>
          <w:i/>
          <w:iCs/>
          <w:color w:val="888888"/>
          <w:sz w:val="22"/>
          <w:szCs w:val="22"/>
        </w:rPr>
        <w:t xml:space="preserve">[Contact information]</w:t>
      </w:r>
    </w:p>
    <w:p>
      <w:pPr>
        <w:spacing w:after="240"/>
      </w:pPr>
    </w:p>
    <w:p>
      <w:pPr>
        <w:pBdr>
          <w:bottom w:val="single" w:color="CCCCCC" w:sz="4"/>
        </w:pBdr>
        <w:spacing w:before="160" w:after="160"/>
      </w:pPr>
      <w:r>
        <w:t xml:space="preserve"/>
      </w:r>
    </w:p>
    <w:p>
      <w:pPr>
        <w:spacing w:after="160"/>
      </w:pPr>
    </w:p>
    <w:p>
      <w:pPr>
        <w:spacing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2026-03-19T06:51:52.398Z</dcterms:created>
  <dcterms:modified xsi:type="dcterms:W3CDTF">2026-03-19T06:51:52.399Z</dcterms:modified>
</cp:coreProperties>
</file>

<file path=docProps/custom.xml><?xml version="1.0" encoding="utf-8"?>
<Properties xmlns="http://schemas.openxmlformats.org/officeDocument/2006/custom-properties" xmlns:vt="http://schemas.openxmlformats.org/officeDocument/2006/docPropsVTypes"/>
</file>