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3A5C"/>
          <w:sz w:val="56"/>
          <w:szCs w:val="56"/>
        </w:rPr>
        <w:t xml:space="preserve">CAPITOL CONTRACTS LLC</w:t>
      </w:r>
    </w:p>
    <w:p>
      <w:pPr>
        <w:spacing w:after="120" w:before="0"/>
        <w:jc w:val="center"/>
      </w:pPr>
      <w:r>
        <w:rPr>
          <w:rFonts w:ascii="Arial" w:cs="Arial" w:eastAsia="Arial" w:hAnsi="Arial"/>
          <w:color w:val="2E5F8A"/>
          <w:sz w:val="40"/>
          <w:szCs w:val="40"/>
        </w:rPr>
        <w:t xml:space="preserve">Business Plan</w:t>
      </w:r>
    </w:p>
    <w:p>
      <w:pPr>
        <w:spacing w:after="80" w:before="0"/>
        <w:jc w:val="center"/>
      </w:pPr>
      <w:r>
        <w:rPr>
          <w:rFonts w:ascii="Arial" w:cs="Arial" w:eastAsia="Arial" w:hAnsi="Arial"/>
          <w:i/>
          <w:iCs/>
          <w:color w:val="555555"/>
          <w:sz w:val="28"/>
          <w:szCs w:val="28"/>
        </w:rPr>
        <w:t xml:space="preserve">What Really Happened: A Trauma Education Series</w:t>
      </w:r>
    </w:p>
    <w:p>
      <w:pPr>
        <w:spacing w:after="1200" w:before="80"/>
        <w:jc w:val="center"/>
      </w:pPr>
      <w:r>
        <w:rPr>
          <w:rFonts w:ascii="Arial" w:cs="Arial" w:eastAsia="Arial" w:hAnsi="Arial"/>
          <w:color w:val="555555"/>
          <w:sz w:val="24"/>
          <w:szCs w:val="24"/>
        </w:rPr>
        <w:t xml:space="preserve">2026 – 2028 | Clarksville, Arkansas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Legal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Capitol Contracts LLC</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11111"/>
                <w:sz w:val="20"/>
                <w:szCs w:val="20"/>
              </w:rPr>
              <w:t xml:space="preserve">UEI</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HH77KN5AV5X7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CAGE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9ZFJ6</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11111"/>
                <w:sz w:val="20"/>
                <w:szCs w:val="20"/>
              </w:rPr>
              <w:t xml:space="preserve">Location</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Clarksville, Arkansas (Johnson County)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Business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Limited Liability Company</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11111"/>
                <w:sz w:val="20"/>
                <w:szCs w:val="20"/>
              </w:rPr>
              <w:t xml:space="preserve">SDVOSB</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Pending — DD-214 required to file (Dane Lingar, 51% 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HUBZone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Pending — Clarksville qualifies; filing in process</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11111"/>
                <w:sz w:val="20"/>
                <w:szCs w:val="20"/>
              </w:rPr>
              <w:t xml:space="preserve">Primary NAICS</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611710 — Educational Support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Additional NAICS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611430, 624190</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11111"/>
                <w:sz w:val="20"/>
                <w:szCs w:val="20"/>
              </w:rPr>
              <w:t xml:space="preserve">PSC Codes</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U009, U099, U093, R699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Core 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What Really Happened — 18-Session Trauma Education Curriculum</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11111"/>
                <w:sz w:val="20"/>
                <w:szCs w:val="20"/>
              </w:rPr>
              <w:t xml:space="preserve">Website</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mave9055.github.io/What-Really-Happened</w:t>
            </w:r>
          </w:p>
        </w:tc>
      </w:tr>
    </w:tbl>
    <w:p>
      <w:pPr>
        <w:spacing w:after="60" w:before="60"/>
      </w:pPr>
      <w:r>
        <w:t xml:space="preserve"/>
      </w:r>
    </w:p>
    <w:p>
      <w:pPr>
        <w:spacing w:after="60" w:before="60"/>
        <w:jc w:val="center"/>
      </w:pPr>
      <w:r>
        <w:rPr>
          <w:rFonts w:ascii="Arial" w:cs="Arial" w:eastAsia="Arial" w:hAnsi="Arial"/>
          <w:color w:val="555555"/>
          <w:sz w:val="20"/>
          <w:szCs w:val="20"/>
        </w:rPr>
        <w:t xml:space="preserve">Prepared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01  |  EXECUTIVE SUMMARY</w:t>
            </w:r>
          </w:p>
        </w:tc>
      </w:tr>
    </w:tbl>
    <w:p>
      <w:pPr>
        <w:spacing w:after="60" w:before="60"/>
      </w:pPr>
      <w:r>
        <w:t xml:space="preserve"/>
      </w:r>
    </w:p>
    <w:p>
      <w:pPr>
        <w:spacing w:after="80" w:before="60"/>
      </w:pPr>
      <w:r>
        <w:rPr>
          <w:rFonts w:ascii="Arial" w:cs="Arial" w:eastAsia="Arial" w:hAnsi="Arial"/>
          <w:color w:val="111111"/>
          <w:sz w:val="22"/>
          <w:szCs w:val="22"/>
        </w:rPr>
        <w:t xml:space="preserve">Capitol Contracts LLC is a service-disabled veteran-owned small business (SDVOSB) based in Clarksville, Arkansas, a federally designated HUBZone community. The company's primary product is What Really Happened: A Trauma Education Series — an 18-session psychoeducational curriculum built from the documented life of its founder, Daniel Lingar, and his published memoir From the Storm to the Fire.</w:t>
      </w:r>
    </w:p>
    <w:p>
      <w:pPr>
        <w:spacing w:after="60" w:before="60"/>
      </w:pPr>
      <w:r>
        <w:t xml:space="preserve"/>
      </w:r>
    </w:p>
    <w:p>
      <w:pPr>
        <w:spacing w:after="80" w:before="60"/>
      </w:pPr>
      <w:r>
        <w:rPr>
          <w:rFonts w:ascii="Arial" w:cs="Arial" w:eastAsia="Arial" w:hAnsi="Arial"/>
          <w:color w:val="111111"/>
          <w:sz w:val="22"/>
          <w:szCs w:val="22"/>
        </w:rPr>
        <w:t xml:space="preserve">The curriculum teaches the mechanisms of Complex PTSD — its neurological foundations, relational consequences, behavioral presentations, and treatment logic — in plain language accessible to non-clinical facilitators. It is not therapy. It is trauma literacy delivered at scale.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8A" w:sz="24"/>
              <w:bottom w:val="single" w:color="CCCCCC" w:sz="1"/>
              <w:right w:val="none" w:color="FFFFFF" w:sz="0"/>
            </w:tcBorders>
            <w:shd w:fill="EAF1F8" w:val="clear"/>
            <w:tcMar>
              <w:top w:type="dxa" w:w="120"/>
              <w:left w:type="dxa" w:w="200"/>
              <w:bottom w:type="dxa" w:w="120"/>
              <w:right w:type="dxa" w:w="120"/>
            </w:tcMar>
          </w:tcPr>
          <w:p>
            <w:r>
              <w:rPr>
                <w:rFonts w:ascii="Arial" w:cs="Arial" w:eastAsia="Arial" w:hAnsi="Arial"/>
                <w:i/>
                <w:iCs/>
                <w:color w:val="1B3A5C"/>
                <w:sz w:val="22"/>
                <w:szCs w:val="22"/>
              </w:rPr>
              <w:t xml:space="preserve">The core thesis: a person can memorize the definition of hypervigilance and miss it in a room — but cannot encounter a documented life without understanding something real about what trauma does to a nervous system.</w:t>
            </w:r>
          </w:p>
        </w:tc>
      </w:tr>
    </w:tbl>
    <w:p>
      <w:pPr>
        <w:spacing w:after="60" w:before="60"/>
      </w:pPr>
      <w:r>
        <w:t xml:space="preserve"/>
      </w:r>
    </w:p>
    <w:p>
      <w:pPr>
        <w:spacing w:after="80" w:before="60"/>
      </w:pPr>
      <w:r>
        <w:rPr>
          <w:rFonts w:ascii="Arial" w:cs="Arial" w:eastAsia="Arial" w:hAnsi="Arial"/>
          <w:color w:val="111111"/>
          <w:sz w:val="22"/>
          <w:szCs w:val="22"/>
        </w:rPr>
        <w:t xml:space="preserve">The business strategy is a three-phase pipeline:</w:t>
      </w:r>
    </w:p>
    <w:p>
      <w:pPr>
        <w:pStyle w:val="ListParagraph"/>
        <w:numPr>
          <w:ilvl w:val="0"/>
          <w:numId w:val="2"/>
        </w:numPr>
        <w:spacing w:after="40" w:before="40"/>
      </w:pPr>
      <w:r>
        <w:rPr>
          <w:rFonts w:ascii="Arial" w:cs="Arial" w:eastAsia="Arial" w:hAnsi="Arial"/>
          <w:b w:val="false"/>
          <w:bCs w:val="false"/>
          <w:color w:val="111111"/>
          <w:sz w:val="22"/>
          <w:szCs w:val="22"/>
        </w:rPr>
        <w:t xml:space="preserve">Phase 1 (Year 1): Establish local revenue through pilots in recovery programs, community mental health, and corrections. Build outcome data and past performance record.</w:t>
      </w:r>
    </w:p>
    <w:p>
      <w:pPr>
        <w:pStyle w:val="ListParagraph"/>
        <w:numPr>
          <w:ilvl w:val="0"/>
          <w:numId w:val="2"/>
        </w:numPr>
        <w:spacing w:after="40" w:before="40"/>
      </w:pPr>
      <w:r>
        <w:rPr>
          <w:rFonts w:ascii="Arial" w:cs="Arial" w:eastAsia="Arial" w:hAnsi="Arial"/>
          <w:b w:val="false"/>
          <w:bCs w:val="false"/>
          <w:color w:val="111111"/>
          <w:sz w:val="22"/>
          <w:szCs w:val="22"/>
        </w:rPr>
        <w:t xml:space="preserve">Phase 2 (Year 2): Leverage certifications (SDVOSB, HUBZone) and documented outcomes to compete for federal contracts through SAM.gov set-aside opportunities.</w:t>
      </w:r>
    </w:p>
    <w:p>
      <w:pPr>
        <w:pStyle w:val="ListParagraph"/>
        <w:numPr>
          <w:ilvl w:val="0"/>
          <w:numId w:val="2"/>
        </w:numPr>
        <w:spacing w:after="40" w:before="40"/>
      </w:pPr>
      <w:r>
        <w:rPr>
          <w:rFonts w:ascii="Arial" w:cs="Arial" w:eastAsia="Arial" w:hAnsi="Arial"/>
          <w:b w:val="false"/>
          <w:bCs w:val="false"/>
          <w:color w:val="111111"/>
          <w:sz w:val="22"/>
          <w:szCs w:val="22"/>
        </w:rPr>
        <w:t xml:space="preserve">Phase 3 (Year 3+): Expand federal footprint and develop licensing/train-the-trainer model for national scale.</w:t>
      </w:r>
    </w:p>
    <w:p>
      <w:pPr>
        <w:spacing w:after="60" w:before="60"/>
      </w:pPr>
      <w:r>
        <w:t xml:space="preserve"/>
      </w:r>
    </w:p>
    <w:p>
      <w:pPr>
        <w:spacing w:after="80" w:before="60"/>
      </w:pPr>
      <w:r>
        <w:rPr>
          <w:rFonts w:ascii="Arial" w:cs="Arial" w:eastAsia="Arial" w:hAnsi="Arial"/>
          <w:color w:val="111111"/>
          <w:sz w:val="22"/>
          <w:szCs w:val="22"/>
        </w:rPr>
        <w:t xml:space="preserve">Year 1 revenue target: $25,000–$75,000. This is a sustainable part-time operation designed to build infrastructure for federal contracting while generating immediate local income.</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02  |  COMPANY OVERVIEW</w:t>
            </w:r>
          </w:p>
        </w:tc>
      </w:tr>
    </w:tbl>
    <w:p>
      <w:pPr>
        <w:spacing w:after="60" w:before="60"/>
      </w:pPr>
      <w:r>
        <w:t xml:space="preserve"/>
      </w:r>
    </w:p>
    <w:p>
      <w:pPr>
        <w:pStyle w:val="Heading2"/>
        <w:spacing w:after="100" w:before="280"/>
      </w:pPr>
      <w:r>
        <w:rPr>
          <w:rFonts w:ascii="Arial" w:cs="Arial" w:eastAsia="Arial" w:hAnsi="Arial"/>
          <w:b/>
          <w:bCs/>
          <w:color w:val="2E5F8A"/>
          <w:sz w:val="28"/>
          <w:szCs w:val="28"/>
        </w:rPr>
        <w:t xml:space="preserve">Ownership Structure</w:t>
      </w:r>
    </w:p>
    <w:p>
      <w:pPr>
        <w:spacing w:after="80" w:before="60"/>
      </w:pPr>
      <w:r>
        <w:rPr>
          <w:rFonts w:ascii="Arial" w:cs="Arial" w:eastAsia="Arial" w:hAnsi="Arial"/>
          <w:color w:val="111111"/>
          <w:sz w:val="22"/>
          <w:szCs w:val="22"/>
        </w:rPr>
        <w:t xml:space="preserve">Capitol Contracts LLC is majority-owned (51%) by Dane Lingar, a U.S. military veteran and licensed accountant. Daniel Lingar (49%) serves as founder, curriculum developer, and primary operator. This structure qualifies the company for SDVOSB set-aside contracting under SBA and VA rules, pending certification.</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Certifications — Status and Action Steps</w:t>
      </w:r>
    </w:p>
    <w:p>
      <w:pPr>
        <w:spacing w:after="80" w:before="200"/>
      </w:pPr>
      <w:r>
        <w:rPr>
          <w:rFonts w:ascii="Arial" w:cs="Arial" w:eastAsia="Arial" w:hAnsi="Arial"/>
          <w:b/>
          <w:bCs/>
          <w:color w:val="111111"/>
          <w:sz w:val="24"/>
          <w:szCs w:val="24"/>
        </w:rPr>
        <w:t xml:space="preserve">SDVOSB (Service-Disabled Veteran-Owned Small Business)</w:t>
      </w:r>
    </w:p>
    <w:p>
      <w:pPr>
        <w:pStyle w:val="ListParagraph"/>
        <w:numPr>
          <w:ilvl w:val="0"/>
          <w:numId w:val="2"/>
        </w:numPr>
        <w:spacing w:after="40" w:before="40"/>
      </w:pPr>
      <w:r>
        <w:rPr>
          <w:rFonts w:ascii="Arial" w:cs="Arial" w:eastAsia="Arial" w:hAnsi="Arial"/>
          <w:b w:val="false"/>
          <w:bCs w:val="false"/>
          <w:color w:val="111111"/>
          <w:sz w:val="22"/>
          <w:szCs w:val="22"/>
        </w:rPr>
        <w:t xml:space="preserve">Qualifying veteran: Dane Lingar (51% owner, service-disabled)</w:t>
      </w:r>
    </w:p>
    <w:p>
      <w:pPr>
        <w:pStyle w:val="ListParagraph"/>
        <w:numPr>
          <w:ilvl w:val="0"/>
          <w:numId w:val="2"/>
        </w:numPr>
        <w:spacing w:after="40" w:before="40"/>
      </w:pPr>
      <w:r>
        <w:rPr>
          <w:rFonts w:ascii="Arial" w:cs="Arial" w:eastAsia="Arial" w:hAnsi="Arial"/>
          <w:b w:val="false"/>
          <w:bCs w:val="false"/>
          <w:color w:val="111111"/>
          <w:sz w:val="22"/>
          <w:szCs w:val="22"/>
        </w:rPr>
        <w:t xml:space="preserve">Required document: DD-214 — must be obtained and submitted to the VA's Veteran Small Business Certification (VetCert) portal</w:t>
      </w:r>
    </w:p>
    <w:p>
      <w:pPr>
        <w:pStyle w:val="ListParagraph"/>
        <w:numPr>
          <w:ilvl w:val="0"/>
          <w:numId w:val="2"/>
        </w:numPr>
        <w:spacing w:after="40" w:before="40"/>
      </w:pPr>
      <w:r>
        <w:rPr>
          <w:rFonts w:ascii="Arial" w:cs="Arial" w:eastAsia="Arial" w:hAnsi="Arial"/>
          <w:b w:val="false"/>
          <w:bCs w:val="false"/>
          <w:color w:val="111111"/>
          <w:sz w:val="22"/>
          <w:szCs w:val="22"/>
        </w:rPr>
        <w:t xml:space="preserve">Filing platform: SBA Veteran Small Business Certification (vetcert.sba.gov)</w:t>
      </w:r>
    </w:p>
    <w:p>
      <w:pPr>
        <w:pStyle w:val="ListParagraph"/>
        <w:numPr>
          <w:ilvl w:val="0"/>
          <w:numId w:val="2"/>
        </w:numPr>
        <w:spacing w:after="40" w:before="40"/>
      </w:pPr>
      <w:r>
        <w:rPr>
          <w:rFonts w:ascii="Arial" w:cs="Arial" w:eastAsia="Arial" w:hAnsi="Arial"/>
          <w:b w:val="false"/>
          <w:bCs w:val="false"/>
          <w:color w:val="111111"/>
          <w:sz w:val="22"/>
          <w:szCs w:val="22"/>
        </w:rPr>
        <w:t xml:space="preserve">Estimated processing time: 30–90 days after filing</w:t>
      </w:r>
    </w:p>
    <w:p>
      <w:pPr>
        <w:pStyle w:val="ListParagraph"/>
        <w:numPr>
          <w:ilvl w:val="0"/>
          <w:numId w:val="2"/>
        </w:numPr>
        <w:spacing w:after="40" w:before="40"/>
      </w:pPr>
      <w:r>
        <w:rPr>
          <w:rFonts w:ascii="Arial" w:cs="Arial" w:eastAsia="Arial" w:hAnsi="Arial"/>
          <w:b w:val="false"/>
          <w:bCs w:val="false"/>
          <w:color w:val="111111"/>
          <w:sz w:val="22"/>
          <w:szCs w:val="22"/>
        </w:rPr>
        <w:t xml:space="preserve">Strategic value: Access to SDVOSB set-aside contracts on SAM.gov; preferred status in VA and federal agency procurement</w:t>
      </w:r>
    </w:p>
    <w:p>
      <w:pPr>
        <w:spacing w:after="60" w:before="60"/>
      </w:pPr>
      <w:r>
        <w:t xml:space="preserve"/>
      </w:r>
    </w:p>
    <w:p>
      <w:pPr>
        <w:spacing w:after="80" w:before="200"/>
      </w:pPr>
      <w:r>
        <w:rPr>
          <w:rFonts w:ascii="Arial" w:cs="Arial" w:eastAsia="Arial" w:hAnsi="Arial"/>
          <w:b/>
          <w:bCs/>
          <w:color w:val="111111"/>
          <w:sz w:val="24"/>
          <w:szCs w:val="24"/>
        </w:rPr>
        <w:t xml:space="preserve">HUBZone (Historically Underutilized Business Zone)</w:t>
      </w:r>
    </w:p>
    <w:p>
      <w:pPr>
        <w:pStyle w:val="ListParagraph"/>
        <w:numPr>
          <w:ilvl w:val="0"/>
          <w:numId w:val="2"/>
        </w:numPr>
        <w:spacing w:after="40" w:before="40"/>
      </w:pPr>
      <w:r>
        <w:rPr>
          <w:rFonts w:ascii="Arial" w:cs="Arial" w:eastAsia="Arial" w:hAnsi="Arial"/>
          <w:b w:val="false"/>
          <w:bCs w:val="false"/>
          <w:color w:val="111111"/>
          <w:sz w:val="22"/>
          <w:szCs w:val="22"/>
        </w:rPr>
        <w:t xml:space="preserve">Clarksville, Arkansas (Johnson County) is a federally designated HUBZone</w:t>
      </w:r>
    </w:p>
    <w:p>
      <w:pPr>
        <w:pStyle w:val="ListParagraph"/>
        <w:numPr>
          <w:ilvl w:val="0"/>
          <w:numId w:val="2"/>
        </w:numPr>
        <w:spacing w:after="40" w:before="40"/>
      </w:pPr>
      <w:r>
        <w:rPr>
          <w:rFonts w:ascii="Arial" w:cs="Arial" w:eastAsia="Arial" w:hAnsi="Arial"/>
          <w:b w:val="false"/>
          <w:bCs w:val="false"/>
          <w:color w:val="111111"/>
          <w:sz w:val="22"/>
          <w:szCs w:val="22"/>
        </w:rPr>
        <w:t xml:space="preserve">Filing platform: SBA HUBZone certification portal (certify.sba.gov)</w:t>
      </w:r>
    </w:p>
    <w:p>
      <w:pPr>
        <w:pStyle w:val="ListParagraph"/>
        <w:numPr>
          <w:ilvl w:val="0"/>
          <w:numId w:val="2"/>
        </w:numPr>
        <w:spacing w:after="40" w:before="40"/>
      </w:pPr>
      <w:r>
        <w:rPr>
          <w:rFonts w:ascii="Arial" w:cs="Arial" w:eastAsia="Arial" w:hAnsi="Arial"/>
          <w:b w:val="false"/>
          <w:bCs w:val="false"/>
          <w:color w:val="111111"/>
          <w:sz w:val="22"/>
          <w:szCs w:val="22"/>
        </w:rPr>
        <w:t xml:space="preserve">Requirement: Principal office in HUBZone, 35% of employees must reside in HUBZone</w:t>
      </w:r>
    </w:p>
    <w:p>
      <w:pPr>
        <w:pStyle w:val="ListParagraph"/>
        <w:numPr>
          <w:ilvl w:val="0"/>
          <w:numId w:val="2"/>
        </w:numPr>
        <w:spacing w:after="40" w:before="40"/>
      </w:pPr>
      <w:r>
        <w:rPr>
          <w:rFonts w:ascii="Arial" w:cs="Arial" w:eastAsia="Arial" w:hAnsi="Arial"/>
          <w:b w:val="false"/>
          <w:bCs w:val="false"/>
          <w:color w:val="111111"/>
          <w:sz w:val="22"/>
          <w:szCs w:val="22"/>
        </w:rPr>
        <w:t xml:space="preserve">Dane Lingar's accountant role provides the internal financial infrastructure to support certification documentation</w:t>
      </w:r>
    </w:p>
    <w:p>
      <w:pPr>
        <w:pStyle w:val="ListParagraph"/>
        <w:numPr>
          <w:ilvl w:val="0"/>
          <w:numId w:val="2"/>
        </w:numPr>
        <w:spacing w:after="40" w:before="40"/>
      </w:pPr>
      <w:r>
        <w:rPr>
          <w:rFonts w:ascii="Arial" w:cs="Arial" w:eastAsia="Arial" w:hAnsi="Arial"/>
          <w:b w:val="false"/>
          <w:bCs w:val="false"/>
          <w:color w:val="111111"/>
          <w:sz w:val="22"/>
          <w:szCs w:val="22"/>
        </w:rPr>
        <w:t xml:space="preserve">Strategic value: Price evaluation preference of 10% in federal competitive bidding; additional set-aside 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8A" w:sz="24"/>
              <w:bottom w:val="single" w:color="CCCCCC" w:sz="1"/>
              <w:right w:val="none" w:color="FFFFFF" w:sz="0"/>
            </w:tcBorders>
            <w:shd w:fill="EAF1F8" w:val="clear"/>
            <w:tcMar>
              <w:top w:type="dxa" w:w="120"/>
              <w:left w:type="dxa" w:w="200"/>
              <w:bottom w:type="dxa" w:w="120"/>
              <w:right w:type="dxa" w:w="120"/>
            </w:tcMar>
          </w:tcPr>
          <w:p>
            <w:r>
              <w:rPr>
                <w:rFonts w:ascii="Arial" w:cs="Arial" w:eastAsia="Arial" w:hAnsi="Arial"/>
                <w:i/>
                <w:iCs/>
                <w:color w:val="1B3A5C"/>
                <w:sz w:val="22"/>
                <w:szCs w:val="22"/>
              </w:rPr>
              <w:t xml:space="preserve">Action item: Obtain Dane Lingar's DD-214 immediately — this is the single bottleneck blocking both SDVOSB filing and timeline acceleration. Everything downstream depends on it.</w:t>
            </w:r>
          </w:p>
        </w:tc>
      </w:tr>
    </w:tbl>
    <w:p>
      <w:pPr>
        <w:spacing w:after="60" w:before="60"/>
      </w:pPr>
      <w:r>
        <w:t xml:space="preserve"/>
      </w:r>
    </w:p>
    <w:p>
      <w:pPr>
        <w:pStyle w:val="Heading2"/>
        <w:spacing w:after="100" w:before="280"/>
      </w:pPr>
      <w:r>
        <w:rPr>
          <w:rFonts w:ascii="Arial" w:cs="Arial" w:eastAsia="Arial" w:hAnsi="Arial"/>
          <w:b/>
          <w:bCs/>
          <w:color w:val="2E5F8A"/>
          <w:sz w:val="28"/>
          <w:szCs w:val="28"/>
        </w:rPr>
        <w:t xml:space="preserve">SAM.gov Registration</w:t>
      </w:r>
    </w:p>
    <w:p>
      <w:pPr>
        <w:spacing w:after="80" w:before="60"/>
      </w:pPr>
      <w:r>
        <w:rPr>
          <w:rFonts w:ascii="Arial" w:cs="Arial" w:eastAsia="Arial" w:hAnsi="Arial"/>
          <w:color w:val="111111"/>
          <w:sz w:val="22"/>
          <w:szCs w:val="22"/>
        </w:rPr>
        <w:t xml:space="preserve">SAM.gov registration is active. UEI: HH77KN5AV5X7. CAGE Code: 9ZFJ6. Registration must be renewed annually. Past performance records, capability statements, and contract history should be maintained and updated in the system as they are generated.</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03  |  PRODUCT</w:t>
            </w:r>
          </w:p>
        </w:tc>
      </w:tr>
    </w:tbl>
    <w:p>
      <w:pPr>
        <w:spacing w:after="60" w:before="60"/>
      </w:pPr>
      <w:r>
        <w:t xml:space="preserve"/>
      </w:r>
    </w:p>
    <w:p>
      <w:pPr>
        <w:pStyle w:val="Heading2"/>
        <w:spacing w:after="100" w:before="280"/>
      </w:pPr>
      <w:r>
        <w:rPr>
          <w:rFonts w:ascii="Arial" w:cs="Arial" w:eastAsia="Arial" w:hAnsi="Arial"/>
          <w:b/>
          <w:bCs/>
          <w:color w:val="2E5F8A"/>
          <w:sz w:val="28"/>
          <w:szCs w:val="28"/>
        </w:rPr>
        <w:t xml:space="preserve">What Really Happened: A Trauma Education Series</w:t>
      </w:r>
    </w:p>
    <w:p>
      <w:pPr>
        <w:spacing w:after="80" w:before="60"/>
      </w:pPr>
      <w:r>
        <w:rPr>
          <w:rFonts w:ascii="Arial" w:cs="Arial" w:eastAsia="Arial" w:hAnsi="Arial"/>
          <w:color w:val="111111"/>
          <w:sz w:val="22"/>
          <w:szCs w:val="22"/>
        </w:rPr>
        <w:t xml:space="preserve">What Really Happened is an 18-session psychoeducational group curriculum built around a single case study: the documented life of Daniel Lingar, drawn from his memoir From the Storm to the Fire. Every clinical concept is grounded in a specific event, relationship, or moment from that memoir. Abstraction fails where specificity succeeds.</w:t>
      </w:r>
    </w:p>
    <w:p>
      <w:pPr>
        <w:spacing w:after="60" w:before="60"/>
      </w:pPr>
      <w:r>
        <w:t xml:space="preserve"/>
      </w:r>
    </w:p>
    <w:p>
      <w:pPr>
        <w:spacing w:after="80" w:before="60"/>
      </w:pPr>
      <w:r>
        <w:rPr>
          <w:rFonts w:ascii="Arial" w:cs="Arial" w:eastAsia="Arial" w:hAnsi="Arial"/>
          <w:color w:val="111111"/>
          <w:sz w:val="22"/>
          <w:szCs w:val="22"/>
        </w:rPr>
        <w:t xml:space="preserve">The curriculum is organized in five parts:</w:t>
      </w:r>
    </w:p>
    <w:p>
      <w:pPr>
        <w:pStyle w:val="ListParagraph"/>
        <w:numPr>
          <w:ilvl w:val="0"/>
          <w:numId w:val="2"/>
        </w:numPr>
        <w:spacing w:after="40" w:before="40"/>
      </w:pPr>
      <w:r>
        <w:rPr>
          <w:rFonts w:ascii="Arial" w:cs="Arial" w:eastAsia="Arial" w:hAnsi="Arial"/>
          <w:b w:val="false"/>
          <w:bCs w:val="false"/>
          <w:color w:val="111111"/>
          <w:sz w:val="22"/>
          <w:szCs w:val="22"/>
        </w:rPr>
        <w:t xml:space="preserve">Part I (Sessions 00–02): How Complex PTSD gets built into a nervous system during early development</w:t>
      </w:r>
    </w:p>
    <w:p>
      <w:pPr>
        <w:pStyle w:val="ListParagraph"/>
        <w:numPr>
          <w:ilvl w:val="0"/>
          <w:numId w:val="2"/>
        </w:numPr>
        <w:spacing w:after="40" w:before="40"/>
      </w:pPr>
      <w:r>
        <w:rPr>
          <w:rFonts w:ascii="Arial" w:cs="Arial" w:eastAsia="Arial" w:hAnsi="Arial"/>
          <w:b w:val="false"/>
          <w:bCs w:val="false"/>
          <w:color w:val="111111"/>
          <w:sz w:val="22"/>
          <w:szCs w:val="22"/>
        </w:rPr>
        <w:t xml:space="preserve">Part II (Sessions 03–04): What it does to adult relationships</w:t>
      </w:r>
    </w:p>
    <w:p>
      <w:pPr>
        <w:pStyle w:val="ListParagraph"/>
        <w:numPr>
          <w:ilvl w:val="0"/>
          <w:numId w:val="2"/>
        </w:numPr>
        <w:spacing w:after="40" w:before="40"/>
      </w:pPr>
      <w:r>
        <w:rPr>
          <w:rFonts w:ascii="Arial" w:cs="Arial" w:eastAsia="Arial" w:hAnsi="Arial"/>
          <w:b w:val="false"/>
          <w:bCs w:val="false"/>
          <w:color w:val="111111"/>
          <w:sz w:val="22"/>
          <w:szCs w:val="22"/>
        </w:rPr>
        <w:t xml:space="preserve">Part III (Sessions 05–07.5): The coping strategies the nervous system deploys — substance use, overwork, performance</w:t>
      </w:r>
    </w:p>
    <w:p>
      <w:pPr>
        <w:pStyle w:val="ListParagraph"/>
        <w:numPr>
          <w:ilvl w:val="0"/>
          <w:numId w:val="2"/>
        </w:numPr>
        <w:spacing w:after="40" w:before="40"/>
      </w:pPr>
      <w:r>
        <w:rPr>
          <w:rFonts w:ascii="Arial" w:cs="Arial" w:eastAsia="Arial" w:hAnsi="Arial"/>
          <w:b w:val="false"/>
          <w:bCs w:val="false"/>
          <w:color w:val="111111"/>
          <w:sz w:val="22"/>
          <w:szCs w:val="22"/>
        </w:rPr>
        <w:t xml:space="preserve">Part IV (Sessions 08–12): The internal architecture of a nervous system in crisis — includes a dedicated suicide risk and crisis session</w:t>
      </w:r>
    </w:p>
    <w:p>
      <w:pPr>
        <w:pStyle w:val="ListParagraph"/>
        <w:numPr>
          <w:ilvl w:val="0"/>
          <w:numId w:val="2"/>
        </w:numPr>
        <w:spacing w:after="40" w:before="40"/>
      </w:pPr>
      <w:r>
        <w:rPr>
          <w:rFonts w:ascii="Arial" w:cs="Arial" w:eastAsia="Arial" w:hAnsi="Arial"/>
          <w:b w:val="false"/>
          <w:bCs w:val="false"/>
          <w:color w:val="111111"/>
          <w:sz w:val="22"/>
          <w:szCs w:val="22"/>
        </w:rPr>
        <w:t xml:space="preserve">Part V (Sessions 13–16): What can be learned late, what systems failed, and what institutional change requires</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What It Is — and What It Is Not</w:t>
      </w:r>
    </w:p>
    <w:p>
      <w:pPr>
        <w:spacing w:after="80" w:before="60"/>
      </w:pPr>
      <w:r>
        <w:rPr>
          <w:rFonts w:ascii="Arial" w:cs="Arial" w:eastAsia="Arial" w:hAnsi="Arial"/>
          <w:color w:val="111111"/>
          <w:sz w:val="22"/>
          <w:szCs w:val="22"/>
        </w:rPr>
        <w:t xml:space="preserve">This is a psychoeducational curriculum. It does not diagnose, prescribe, or provide therapy. It does not require licensed clinical staff to facilitate. It shifts the question from what is wrong with you to what happened to you — and that shift is the intervention.</w:t>
      </w:r>
    </w:p>
    <w:p>
      <w:pPr>
        <w:spacing w:after="60" w:before="60"/>
      </w:pPr>
      <w:r>
        <w:t xml:space="preserve"/>
      </w:r>
    </w:p>
    <w:p>
      <w:pPr>
        <w:spacing w:after="80" w:before="60"/>
      </w:pPr>
      <w:r>
        <w:rPr>
          <w:rFonts w:ascii="Arial" w:cs="Arial" w:eastAsia="Arial" w:hAnsi="Arial"/>
          <w:color w:val="111111"/>
          <w:sz w:val="22"/>
          <w:szCs w:val="22"/>
        </w:rPr>
        <w:t xml:space="preserve">It is designed for exactly the populations that therapy cannot reach at scale: corrections, recovery, peer support, workforce development, and community mental health. The methodology is the case study. The delivery mechanism is a facilitator guide anyone can run.</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80"/>
        <w:gridCol w:w="26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Sessions</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 I — Introduction (PILOT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00–02 (4 sessions)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4–6 weeks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$1,500</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 II — Relationships</w:t>
            </w:r>
          </w:p>
        </w:tc>
        <w:tc>
          <w:tcPr>
            <w:tcW w:type="dxa" w:w="2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03–04 (2 sessions)</w:t>
            </w:r>
          </w:p>
        </w:tc>
        <w:tc>
          <w:tcPr>
            <w:tcW w:type="dxa" w:w="1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2 weeks</w:t>
            </w:r>
          </w:p>
        </w:tc>
        <w:tc>
          <w:tcPr>
            <w:tcW w:type="dxa" w:w="2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11111"/>
                <w:sz w:val="20"/>
                <w:szCs w:val="20"/>
              </w:rPr>
              <w:t xml:space="preserve">$750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 III — Coping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05–07.5 (4 sessions)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4–6 weeks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$1,500</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 IV — Internal Battlefield</w:t>
            </w:r>
          </w:p>
        </w:tc>
        <w:tc>
          <w:tcPr>
            <w:tcW w:type="dxa" w:w="2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08–12 (5 sessions)</w:t>
            </w:r>
          </w:p>
        </w:tc>
        <w:tc>
          <w:tcPr>
            <w:tcW w:type="dxa" w:w="1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5–6 weeks</w:t>
            </w:r>
          </w:p>
        </w:tc>
        <w:tc>
          <w:tcPr>
            <w:tcW w:type="dxa" w:w="2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11111"/>
                <w:sz w:val="20"/>
                <w:szCs w:val="20"/>
              </w:rPr>
              <w:t xml:space="preserve">$1,750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 V — Systems &amp;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13–16 (4 sessions)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 weeks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$1,500</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Program — All 18 Sessions</w:t>
            </w:r>
          </w:p>
        </w:tc>
        <w:tc>
          <w:tcPr>
            <w:tcW w:type="dxa" w:w="2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Complete curriculum</w:t>
            </w:r>
          </w:p>
        </w:tc>
        <w:tc>
          <w:tcPr>
            <w:tcW w:type="dxa" w:w="1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18–22 weeks</w:t>
            </w:r>
          </w:p>
        </w:tc>
        <w:tc>
          <w:tcPr>
            <w:tcW w:type="dxa" w:w="2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11111"/>
                <w:sz w:val="20"/>
                <w:szCs w:val="20"/>
              </w:rPr>
              <w:t xml:space="preserve">$7,000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8A" w:sz="24"/>
              <w:bottom w:val="single" w:color="CCCCCC" w:sz="1"/>
              <w:right w:val="none" w:color="FFFFFF" w:sz="0"/>
            </w:tcBorders>
            <w:shd w:fill="EAF1F8" w:val="clear"/>
            <w:tcMar>
              <w:top w:type="dxa" w:w="120"/>
              <w:left w:type="dxa" w:w="200"/>
              <w:bottom w:type="dxa" w:w="120"/>
              <w:right w:type="dxa" w:w="120"/>
            </w:tcMar>
          </w:tcPr>
          <w:p>
            <w:r>
              <w:rPr>
                <w:rFonts w:ascii="Arial" w:cs="Arial" w:eastAsia="Arial" w:hAnsi="Arial"/>
                <w:i/>
                <w:iCs/>
                <w:color w:val="1B3A5C"/>
                <w:sz w:val="22"/>
                <w:szCs w:val="22"/>
              </w:rPr>
              <w:t xml:space="preserve">Recommended entry point for all new institutional partners: Part I at $1,500. This is deliberately low-friction. The goal is a signed contract, a delivered pilot, and a documented outcome — not maximum revenue on the first deal.</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04  |  MARKET &amp; TARGET SECTORS</w:t>
            </w:r>
          </w:p>
        </w:tc>
      </w:tr>
    </w:tbl>
    <w:p>
      <w:pPr>
        <w:spacing w:after="60" w:before="60"/>
      </w:pPr>
      <w:r>
        <w:t xml:space="preserve"/>
      </w:r>
    </w:p>
    <w:p>
      <w:pPr>
        <w:spacing w:after="80" w:before="60"/>
      </w:pPr>
      <w:r>
        <w:rPr>
          <w:rFonts w:ascii="Arial" w:cs="Arial" w:eastAsia="Arial" w:hAnsi="Arial"/>
          <w:color w:val="111111"/>
          <w:sz w:val="22"/>
          <w:szCs w:val="22"/>
        </w:rPr>
        <w:t xml:space="preserve">Capitol Contracts operates at the intersection of trauma education, corrections, recovery services, and workforce development — all sectors that are chronically underfunded, understaffed on clinical personnel, and actively seeking structured, facilitator-ready curriculum that works without a licensed clinician in the room.</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Primary Local Markets (Year 1)</w:t>
      </w:r>
    </w:p>
    <w:p>
      <w:pPr>
        <w:spacing w:after="60" w:before="60"/>
      </w:pPr>
      <w:r>
        <w:t xml:space="preserve"/>
      </w:r>
    </w:p>
    <w:p>
      <w:pPr>
        <w:spacing w:after="80" w:before="200"/>
      </w:pPr>
      <w:r>
        <w:rPr>
          <w:rFonts w:ascii="Arial" w:cs="Arial" w:eastAsia="Arial" w:hAnsi="Arial"/>
          <w:b/>
          <w:bCs/>
          <w:color w:val="111111"/>
          <w:sz w:val="24"/>
          <w:szCs w:val="24"/>
        </w:rPr>
        <w:t xml:space="preserve">1. Recovery Programs (Highest Priority — Easiest Entry)</w:t>
      </w:r>
    </w:p>
    <w:p>
      <w:pPr>
        <w:spacing w:after="80" w:before="60"/>
      </w:pPr>
      <w:r>
        <w:rPr>
          <w:rFonts w:ascii="Arial" w:cs="Arial" w:eastAsia="Arial" w:hAnsi="Arial"/>
          <w:color w:val="111111"/>
          <w:sz w:val="22"/>
          <w:szCs w:val="22"/>
        </w:rPr>
        <w:t xml:space="preserve">Warm leads already exist through First Step Recovery and AA/NA contacts. These organizations operate outside formal procurement processes in most cases. A conversation and a one-pager can close a contract. They have the highest concentration of people whose lives are directly described by the curriculum.</w:t>
      </w:r>
    </w:p>
    <w:p>
      <w:pPr>
        <w:pStyle w:val="ListParagraph"/>
        <w:numPr>
          <w:ilvl w:val="0"/>
          <w:numId w:val="2"/>
        </w:numPr>
        <w:spacing w:after="40" w:before="40"/>
      </w:pPr>
      <w:r>
        <w:rPr>
          <w:rFonts w:ascii="Arial" w:cs="Arial" w:eastAsia="Arial" w:hAnsi="Arial"/>
          <w:b w:val="false"/>
          <w:bCs w:val="false"/>
          <w:color w:val="111111"/>
          <w:sz w:val="22"/>
          <w:szCs w:val="22"/>
        </w:rPr>
        <w:t xml:space="preserve">Target organizations: First Step Recovery (Clarksville), Drug Court programs, Oxford Houses, recovery community organizations</w:t>
      </w:r>
    </w:p>
    <w:p>
      <w:pPr>
        <w:pStyle w:val="ListParagraph"/>
        <w:numPr>
          <w:ilvl w:val="0"/>
          <w:numId w:val="2"/>
        </w:numPr>
        <w:spacing w:after="40" w:before="40"/>
      </w:pPr>
      <w:r>
        <w:rPr>
          <w:rFonts w:ascii="Arial" w:cs="Arial" w:eastAsia="Arial" w:hAnsi="Arial"/>
          <w:b w:val="false"/>
          <w:bCs w:val="false"/>
          <w:color w:val="111111"/>
          <w:sz w:val="22"/>
          <w:szCs w:val="22"/>
        </w:rPr>
        <w:t xml:space="preserve">Decision-maker: Program director or case manager</w:t>
      </w:r>
    </w:p>
    <w:p>
      <w:pPr>
        <w:pStyle w:val="ListParagraph"/>
        <w:numPr>
          <w:ilvl w:val="0"/>
          <w:numId w:val="2"/>
        </w:numPr>
        <w:spacing w:after="40" w:before="40"/>
      </w:pPr>
      <w:r>
        <w:rPr>
          <w:rFonts w:ascii="Arial" w:cs="Arial" w:eastAsia="Arial" w:hAnsi="Arial"/>
          <w:b w:val="false"/>
          <w:bCs w:val="false"/>
          <w:color w:val="111111"/>
          <w:sz w:val="22"/>
          <w:szCs w:val="22"/>
        </w:rPr>
        <w:t xml:space="preserve">Procurement: Direct contract, often without RFP process</w:t>
      </w:r>
    </w:p>
    <w:p>
      <w:pPr>
        <w:pStyle w:val="ListParagraph"/>
        <w:numPr>
          <w:ilvl w:val="0"/>
          <w:numId w:val="2"/>
        </w:numPr>
        <w:spacing w:after="40" w:before="40"/>
      </w:pPr>
      <w:r>
        <w:rPr>
          <w:rFonts w:ascii="Arial" w:cs="Arial" w:eastAsia="Arial" w:hAnsi="Arial"/>
          <w:b w:val="false"/>
          <w:bCs w:val="false"/>
          <w:color w:val="111111"/>
          <w:sz w:val="22"/>
          <w:szCs w:val="22"/>
        </w:rPr>
        <w:t xml:space="preserve">Budget source: SAMHSA block grants, state behavioral health funding, private donations</w:t>
      </w:r>
    </w:p>
    <w:p>
      <w:pPr>
        <w:pStyle w:val="ListParagraph"/>
        <w:numPr>
          <w:ilvl w:val="0"/>
          <w:numId w:val="2"/>
        </w:numPr>
        <w:spacing w:after="40" w:before="40"/>
      </w:pPr>
      <w:r>
        <w:rPr>
          <w:rFonts w:ascii="Arial" w:cs="Arial" w:eastAsia="Arial" w:hAnsi="Arial"/>
          <w:b w:val="false"/>
          <w:bCs w:val="false"/>
          <w:color w:val="111111"/>
          <w:sz w:val="22"/>
          <w:szCs w:val="22"/>
        </w:rPr>
        <w:t xml:space="preserve">Recommended approach: Personal contact via existing relationships; offer free introductory session before contract</w:t>
      </w:r>
    </w:p>
    <w:p>
      <w:pPr>
        <w:spacing w:after="60" w:before="60"/>
      </w:pPr>
      <w:r>
        <w:t xml:space="preserve"/>
      </w:r>
    </w:p>
    <w:p>
      <w:pPr>
        <w:spacing w:after="80" w:before="200"/>
      </w:pPr>
      <w:r>
        <w:rPr>
          <w:rFonts w:ascii="Arial" w:cs="Arial" w:eastAsia="Arial" w:hAnsi="Arial"/>
          <w:b/>
          <w:bCs/>
          <w:color w:val="111111"/>
          <w:sz w:val="24"/>
          <w:szCs w:val="24"/>
        </w:rPr>
        <w:t xml:space="preserve">2. Community Mental Health (Strong Lead — Existing Relationships)</w:t>
      </w:r>
    </w:p>
    <w:p>
      <w:pPr>
        <w:spacing w:after="80" w:before="60"/>
      </w:pPr>
      <w:r>
        <w:rPr>
          <w:rFonts w:ascii="Arial" w:cs="Arial" w:eastAsia="Arial" w:hAnsi="Arial"/>
          <w:color w:val="111111"/>
          <w:sz w:val="22"/>
          <w:szCs w:val="22"/>
        </w:rPr>
        <w:t xml:space="preserve">Warm relationships exist in this sector. Arkansas has eight federally-qualified behavioral health organizations operating under UAMS and the Department of Human Services. These organizations have structured procurement but also flexible training budgets for non-clinical psychoeducation.</w:t>
      </w:r>
    </w:p>
    <w:p>
      <w:pPr>
        <w:pStyle w:val="ListParagraph"/>
        <w:numPr>
          <w:ilvl w:val="0"/>
          <w:numId w:val="2"/>
        </w:numPr>
        <w:spacing w:after="40" w:before="40"/>
      </w:pPr>
      <w:r>
        <w:rPr>
          <w:rFonts w:ascii="Arial" w:cs="Arial" w:eastAsia="Arial" w:hAnsi="Arial"/>
          <w:b w:val="false"/>
          <w:bCs w:val="false"/>
          <w:color w:val="111111"/>
          <w:sz w:val="22"/>
          <w:szCs w:val="22"/>
        </w:rPr>
        <w:t xml:space="preserve">Target organizations: WellBridge (formerly JCMHC), Ozark Guidance, Delta Behavioral Health, Arkansas Behavioral Health</w:t>
      </w:r>
    </w:p>
    <w:p>
      <w:pPr>
        <w:pStyle w:val="ListParagraph"/>
        <w:numPr>
          <w:ilvl w:val="0"/>
          <w:numId w:val="2"/>
        </w:numPr>
        <w:spacing w:after="40" w:before="40"/>
      </w:pPr>
      <w:r>
        <w:rPr>
          <w:rFonts w:ascii="Arial" w:cs="Arial" w:eastAsia="Arial" w:hAnsi="Arial"/>
          <w:b w:val="false"/>
          <w:bCs w:val="false"/>
          <w:color w:val="111111"/>
          <w:sz w:val="22"/>
          <w:szCs w:val="22"/>
        </w:rPr>
        <w:t xml:space="preserve">Decision-maker: Training director or program manager</w:t>
      </w:r>
    </w:p>
    <w:p>
      <w:pPr>
        <w:pStyle w:val="ListParagraph"/>
        <w:numPr>
          <w:ilvl w:val="0"/>
          <w:numId w:val="2"/>
        </w:numPr>
        <w:spacing w:after="40" w:before="40"/>
      </w:pPr>
      <w:r>
        <w:rPr>
          <w:rFonts w:ascii="Arial" w:cs="Arial" w:eastAsia="Arial" w:hAnsi="Arial"/>
          <w:b w:val="false"/>
          <w:bCs w:val="false"/>
          <w:color w:val="111111"/>
          <w:sz w:val="22"/>
          <w:szCs w:val="22"/>
        </w:rPr>
        <w:t xml:space="preserve">Procurement: May require simple vendor registration; usually not full RFP for training curriculum under $10K</w:t>
      </w:r>
    </w:p>
    <w:p>
      <w:pPr>
        <w:pStyle w:val="ListParagraph"/>
        <w:numPr>
          <w:ilvl w:val="0"/>
          <w:numId w:val="2"/>
        </w:numPr>
        <w:spacing w:after="40" w:before="40"/>
      </w:pPr>
      <w:r>
        <w:rPr>
          <w:rFonts w:ascii="Arial" w:cs="Arial" w:eastAsia="Arial" w:hAnsi="Arial"/>
          <w:b w:val="false"/>
          <w:bCs w:val="false"/>
          <w:color w:val="111111"/>
          <w:sz w:val="22"/>
          <w:szCs w:val="22"/>
        </w:rPr>
        <w:t xml:space="preserve">Budget source: Medicaid reimbursement, federal block grants, state appropriations</w:t>
      </w:r>
    </w:p>
    <w:p>
      <w:pPr>
        <w:pStyle w:val="ListParagraph"/>
        <w:numPr>
          <w:ilvl w:val="0"/>
          <w:numId w:val="2"/>
        </w:numPr>
        <w:spacing w:after="40" w:before="40"/>
      </w:pPr>
      <w:r>
        <w:rPr>
          <w:rFonts w:ascii="Arial" w:cs="Arial" w:eastAsia="Arial" w:hAnsi="Arial"/>
          <w:b w:val="false"/>
          <w:bCs w:val="false"/>
          <w:color w:val="111111"/>
          <w:sz w:val="22"/>
          <w:szCs w:val="22"/>
        </w:rPr>
        <w:t xml:space="preserve">Recommended approach: Reach out to existing contacts first; frame as trauma literacy, not clinical training</w:t>
      </w:r>
    </w:p>
    <w:p>
      <w:pPr>
        <w:spacing w:after="60" w:before="60"/>
      </w:pPr>
      <w:r>
        <w:t xml:space="preserve"/>
      </w:r>
    </w:p>
    <w:p>
      <w:pPr>
        <w:spacing w:after="80" w:before="200"/>
      </w:pPr>
      <w:r>
        <w:rPr>
          <w:rFonts w:ascii="Arial" w:cs="Arial" w:eastAsia="Arial" w:hAnsi="Arial"/>
          <w:b/>
          <w:bCs/>
          <w:color w:val="111111"/>
          <w:sz w:val="24"/>
          <w:szCs w:val="24"/>
        </w:rPr>
        <w:t xml:space="preserve">3. Workforce Development (Mid-Priority)</w:t>
      </w:r>
    </w:p>
    <w:p>
      <w:pPr>
        <w:spacing w:after="80" w:before="60"/>
      </w:pPr>
      <w:r>
        <w:rPr>
          <w:rFonts w:ascii="Arial" w:cs="Arial" w:eastAsia="Arial" w:hAnsi="Arial"/>
          <w:color w:val="111111"/>
          <w:sz w:val="22"/>
          <w:szCs w:val="22"/>
        </w:rPr>
        <w:t xml:space="preserve">Arkansas Workforce Centers and community colleges operate under federal Workforce Innovation and Opportunity Act (WIOA) funding. NAICS 611710 maps directly to this sector. Trauma literacy is increasingly recognized as a workforce barrier — participants cannot hold jobs when their nervous systems are in constant crisis mode.</w:t>
      </w:r>
    </w:p>
    <w:p>
      <w:pPr>
        <w:pStyle w:val="ListParagraph"/>
        <w:numPr>
          <w:ilvl w:val="0"/>
          <w:numId w:val="2"/>
        </w:numPr>
        <w:spacing w:after="40" w:before="40"/>
      </w:pPr>
      <w:r>
        <w:rPr>
          <w:rFonts w:ascii="Arial" w:cs="Arial" w:eastAsia="Arial" w:hAnsi="Arial"/>
          <w:b w:val="false"/>
          <w:bCs w:val="false"/>
          <w:color w:val="111111"/>
          <w:sz w:val="22"/>
          <w:szCs w:val="22"/>
        </w:rPr>
        <w:t xml:space="preserve">Target organizations: Arkansas Workforce Centers, Ozarka College, University of Arkansas Community College at Morrilton</w:t>
      </w:r>
    </w:p>
    <w:p>
      <w:pPr>
        <w:pStyle w:val="ListParagraph"/>
        <w:numPr>
          <w:ilvl w:val="0"/>
          <w:numId w:val="2"/>
        </w:numPr>
        <w:spacing w:after="40" w:before="40"/>
      </w:pPr>
      <w:r>
        <w:rPr>
          <w:rFonts w:ascii="Arial" w:cs="Arial" w:eastAsia="Arial" w:hAnsi="Arial"/>
          <w:b w:val="false"/>
          <w:bCs w:val="false"/>
          <w:color w:val="111111"/>
          <w:sz w:val="22"/>
          <w:szCs w:val="22"/>
        </w:rPr>
        <w:t xml:space="preserve">NAICS fit: 611710 primary; 611430 (Professional Development Training)</w:t>
      </w:r>
    </w:p>
    <w:p>
      <w:pPr>
        <w:pStyle w:val="ListParagraph"/>
        <w:numPr>
          <w:ilvl w:val="0"/>
          <w:numId w:val="2"/>
        </w:numPr>
        <w:spacing w:after="40" w:before="40"/>
      </w:pPr>
      <w:r>
        <w:rPr>
          <w:rFonts w:ascii="Arial" w:cs="Arial" w:eastAsia="Arial" w:hAnsi="Arial"/>
          <w:b w:val="false"/>
          <w:bCs w:val="false"/>
          <w:color w:val="111111"/>
          <w:sz w:val="22"/>
          <w:szCs w:val="22"/>
        </w:rPr>
        <w:t xml:space="preserve">Budget source: WIOA Title I and II funding, DOL grants</w:t>
      </w:r>
    </w:p>
    <w:p>
      <w:pPr>
        <w:spacing w:after="60" w:before="60"/>
      </w:pPr>
      <w:r>
        <w:t xml:space="preserve"/>
      </w:r>
    </w:p>
    <w:p>
      <w:pPr>
        <w:spacing w:after="80" w:before="200"/>
      </w:pPr>
      <w:r>
        <w:rPr>
          <w:rFonts w:ascii="Arial" w:cs="Arial" w:eastAsia="Arial" w:hAnsi="Arial"/>
          <w:b/>
          <w:bCs/>
          <w:color w:val="111111"/>
          <w:sz w:val="24"/>
          <w:szCs w:val="24"/>
        </w:rPr>
        <w:t xml:space="preserve">4. Corrections (Highest Long-Term Value — Hardest Entry)</w:t>
      </w:r>
    </w:p>
    <w:p>
      <w:pPr>
        <w:spacing w:after="80" w:before="60"/>
      </w:pPr>
      <w:r>
        <w:rPr>
          <w:rFonts w:ascii="Arial" w:cs="Arial" w:eastAsia="Arial" w:hAnsi="Arial"/>
          <w:color w:val="111111"/>
          <w:sz w:val="22"/>
          <w:szCs w:val="22"/>
        </w:rPr>
        <w:t xml:space="preserve">The Johnson County Detention Center and the Arkansas Department of Corrections represent the highest-value long-term contracts in the local market. The existing relationship thread through the Johnson County Sheriff's Office proposal is the right door. This is a longer sales cycle but produces the most compelling past performance narrative for federal contracting.</w:t>
      </w:r>
    </w:p>
    <w:p>
      <w:pPr>
        <w:pStyle w:val="ListParagraph"/>
        <w:numPr>
          <w:ilvl w:val="0"/>
          <w:numId w:val="2"/>
        </w:numPr>
        <w:spacing w:after="40" w:before="40"/>
      </w:pPr>
      <w:r>
        <w:rPr>
          <w:rFonts w:ascii="Arial" w:cs="Arial" w:eastAsia="Arial" w:hAnsi="Arial"/>
          <w:b w:val="false"/>
          <w:bCs w:val="false"/>
          <w:color w:val="111111"/>
          <w:sz w:val="22"/>
          <w:szCs w:val="22"/>
        </w:rPr>
        <w:t xml:space="preserve">Target organizations: Johnson County Detention Center, ADC Community Correction Centers, drug court programs</w:t>
      </w:r>
    </w:p>
    <w:p>
      <w:pPr>
        <w:pStyle w:val="ListParagraph"/>
        <w:numPr>
          <w:ilvl w:val="0"/>
          <w:numId w:val="2"/>
        </w:numPr>
        <w:spacing w:after="40" w:before="40"/>
      </w:pPr>
      <w:r>
        <w:rPr>
          <w:rFonts w:ascii="Arial" w:cs="Arial" w:eastAsia="Arial" w:hAnsi="Arial"/>
          <w:b w:val="false"/>
          <w:bCs w:val="false"/>
          <w:color w:val="111111"/>
          <w:sz w:val="22"/>
          <w:szCs w:val="22"/>
        </w:rPr>
        <w:t xml:space="preserve">Entry strategy: One-session demonstration through Sheriff's Office relationship; low-cost pilot proposal</w:t>
      </w:r>
    </w:p>
    <w:p>
      <w:pPr>
        <w:pStyle w:val="ListParagraph"/>
        <w:numPr>
          <w:ilvl w:val="0"/>
          <w:numId w:val="2"/>
        </w:numPr>
        <w:spacing w:after="40" w:before="40"/>
      </w:pPr>
      <w:r>
        <w:rPr>
          <w:rFonts w:ascii="Arial" w:cs="Arial" w:eastAsia="Arial" w:hAnsi="Arial"/>
          <w:b w:val="false"/>
          <w:bCs w:val="false"/>
          <w:color w:val="111111"/>
          <w:sz w:val="22"/>
          <w:szCs w:val="22"/>
        </w:rPr>
        <w:t xml:space="preserve">Budget source: County general fund, Justice Assistance Grants (JAG), Second Chance Act funding</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Secondary Markets (Year 2+)</w:t>
      </w:r>
    </w:p>
    <w:p>
      <w:pPr>
        <w:pStyle w:val="ListParagraph"/>
        <w:numPr>
          <w:ilvl w:val="0"/>
          <w:numId w:val="2"/>
        </w:numPr>
        <w:spacing w:after="40" w:before="40"/>
      </w:pPr>
      <w:r>
        <w:rPr>
          <w:rFonts w:ascii="Arial" w:cs="Arial" w:eastAsia="Arial" w:hAnsi="Arial"/>
          <w:b w:val="false"/>
          <w:bCs w:val="false"/>
          <w:color w:val="111111"/>
          <w:sz w:val="22"/>
          <w:szCs w:val="22"/>
        </w:rPr>
        <w:t xml:space="preserve">VA-adjacent programs: Veteran treatment courts, veteran peer support programs, vet centers</w:t>
      </w:r>
    </w:p>
    <w:p>
      <w:pPr>
        <w:pStyle w:val="ListParagraph"/>
        <w:numPr>
          <w:ilvl w:val="0"/>
          <w:numId w:val="2"/>
        </w:numPr>
        <w:spacing w:after="40" w:before="40"/>
      </w:pPr>
      <w:r>
        <w:rPr>
          <w:rFonts w:ascii="Arial" w:cs="Arial" w:eastAsia="Arial" w:hAnsi="Arial"/>
          <w:b w:val="false"/>
          <w:bCs w:val="false"/>
          <w:color w:val="111111"/>
          <w:sz w:val="22"/>
          <w:szCs w:val="22"/>
        </w:rPr>
        <w:t xml:space="preserve">Federal Bureau of Prisons: Community corrections component</w:t>
      </w:r>
    </w:p>
    <w:p>
      <w:pPr>
        <w:pStyle w:val="ListParagraph"/>
        <w:numPr>
          <w:ilvl w:val="0"/>
          <w:numId w:val="2"/>
        </w:numPr>
        <w:spacing w:after="40" w:before="40"/>
      </w:pPr>
      <w:r>
        <w:rPr>
          <w:rFonts w:ascii="Arial" w:cs="Arial" w:eastAsia="Arial" w:hAnsi="Arial"/>
          <w:b w:val="false"/>
          <w:bCs w:val="false"/>
          <w:color w:val="111111"/>
          <w:sz w:val="22"/>
          <w:szCs w:val="22"/>
        </w:rPr>
        <w:t xml:space="preserve">SAMHSA-funded treatment programs: Require evidence base — pilot data from Year 1 is the prerequisite</w:t>
      </w:r>
    </w:p>
    <w:p>
      <w:pPr>
        <w:pStyle w:val="ListParagraph"/>
        <w:numPr>
          <w:ilvl w:val="0"/>
          <w:numId w:val="2"/>
        </w:numPr>
        <w:spacing w:after="40" w:before="40"/>
      </w:pPr>
      <w:r>
        <w:rPr>
          <w:rFonts w:ascii="Arial" w:cs="Arial" w:eastAsia="Arial" w:hAnsi="Arial"/>
          <w:b w:val="false"/>
          <w:bCs w:val="false"/>
          <w:color w:val="111111"/>
          <w:sz w:val="22"/>
          <w:szCs w:val="22"/>
        </w:rPr>
        <w:t xml:space="preserve">DOL Re-Entry Employment Opportunities (REO) grants</w:t>
      </w:r>
    </w:p>
    <w:p>
      <w:pPr>
        <w:pStyle w:val="ListParagraph"/>
        <w:numPr>
          <w:ilvl w:val="0"/>
          <w:numId w:val="2"/>
        </w:numPr>
        <w:spacing w:after="40" w:before="40"/>
      </w:pPr>
      <w:r>
        <w:rPr>
          <w:rFonts w:ascii="Arial" w:cs="Arial" w:eastAsia="Arial" w:hAnsi="Arial"/>
          <w:b w:val="false"/>
          <w:bCs w:val="false"/>
          <w:color w:val="111111"/>
          <w:sz w:val="22"/>
          <w:szCs w:val="22"/>
        </w:rPr>
        <w:t xml:space="preserve">Indian Health Service: Strong SDVOSB and HUBZone relevance in rural tribal areas</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05  |  REVENUE PROJECTIONS</w:t>
            </w:r>
          </w:p>
        </w:tc>
      </w:tr>
    </w:tbl>
    <w:p>
      <w:pPr>
        <w:spacing w:after="60" w:before="60"/>
      </w:pPr>
      <w:r>
        <w:t xml:space="preserve"/>
      </w:r>
    </w:p>
    <w:p>
      <w:pPr>
        <w:spacing w:after="80" w:before="60"/>
      </w:pPr>
      <w:r>
        <w:rPr>
          <w:rFonts w:ascii="Arial" w:cs="Arial" w:eastAsia="Arial" w:hAnsi="Arial"/>
          <w:color w:val="111111"/>
          <w:sz w:val="22"/>
          <w:szCs w:val="22"/>
        </w:rPr>
        <w:t xml:space="preserve">Year 1 target: $25,000–$75,000. The following scenarios are grounded in the pricing structure and realistic contract volume for a new vendor in local institutional markets.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Contracts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Avg Value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Conservative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 pilots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$1,500 (Part I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~$6,000</w:t>
            </w:r>
          </w:p>
        </w:tc>
      </w:tr>
      <w:tr>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Moderate</w:t>
            </w:r>
          </w:p>
        </w:tc>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6 pilots + 2 full</w:t>
            </w:r>
          </w:p>
        </w:tc>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$3,500 avg</w:t>
            </w:r>
          </w:p>
        </w:tc>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~$28,000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Target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 pilots + 3 full + 1 recurring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$4,500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~$55,000</w:t>
            </w:r>
          </w:p>
        </w:tc>
      </w:tr>
      <w:tr>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Stretch</w:t>
            </w:r>
          </w:p>
        </w:tc>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12 contracts mixed</w:t>
            </w:r>
          </w:p>
        </w:tc>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$5,500 avg</w:t>
            </w:r>
          </w:p>
        </w:tc>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20"/>
                <w:szCs w:val="20"/>
              </w:rPr>
              <w:t xml:space="preserve">~$75,000</w:t>
            </w:r>
          </w:p>
        </w:tc>
      </w:tr>
    </w:tbl>
    <w:p>
      <w:pPr>
        <w:spacing w:after="60" w:before="60"/>
      </w:pPr>
      <w:r>
        <w:t xml:space="preserve"/>
      </w:r>
    </w:p>
    <w:p>
      <w:pPr>
        <w:spacing w:after="80" w:before="60"/>
      </w:pPr>
      <w:r>
        <w:rPr>
          <w:rFonts w:ascii="Arial" w:cs="Arial" w:eastAsia="Arial" w:hAnsi="Arial"/>
          <w:color w:val="111111"/>
          <w:sz w:val="22"/>
          <w:szCs w:val="22"/>
        </w:rPr>
        <w:t xml:space="preserve">The moderate scenario ($28K) is achievable in Year 1 with six Part I pilots and two full-curriculum deployments. The target scenario ($55K) requires consistent outreach activity and conversion of warm leads into recurring contracts.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8A" w:sz="24"/>
              <w:bottom w:val="single" w:color="CCCCCC" w:sz="1"/>
              <w:right w:val="none" w:color="FFFFFF" w:sz="0"/>
            </w:tcBorders>
            <w:shd w:fill="EAF1F8" w:val="clear"/>
            <w:tcMar>
              <w:top w:type="dxa" w:w="120"/>
              <w:left w:type="dxa" w:w="200"/>
              <w:bottom w:type="dxa" w:w="120"/>
              <w:right w:type="dxa" w:w="120"/>
            </w:tcMar>
          </w:tcPr>
          <w:p>
            <w:r>
              <w:rPr>
                <w:rFonts w:ascii="Arial" w:cs="Arial" w:eastAsia="Arial" w:hAnsi="Arial"/>
                <w:i/>
                <w:iCs/>
                <w:color w:val="1B3A5C"/>
                <w:sz w:val="22"/>
                <w:szCs w:val="22"/>
              </w:rPr>
              <w:t xml:space="preserve">Every outcome report generated adds to past performance value. A $1,500 pilot today is worth significantly more than $1,500 once it becomes a documented performance record on SAM.gov. Do not discount the first contract — price it, deliver it well, and document everything.</w:t>
            </w:r>
          </w:p>
        </w:tc>
      </w:tr>
    </w:tbl>
    <w:p>
      <w:pPr>
        <w:spacing w:after="60" w:before="60"/>
      </w:pPr>
      <w:r>
        <w:t xml:space="preserve"/>
      </w:r>
    </w:p>
    <w:p>
      <w:pPr>
        <w:pStyle w:val="Heading2"/>
        <w:spacing w:after="100" w:before="280"/>
      </w:pPr>
      <w:r>
        <w:rPr>
          <w:rFonts w:ascii="Arial" w:cs="Arial" w:eastAsia="Arial" w:hAnsi="Arial"/>
          <w:b/>
          <w:bCs/>
          <w:color w:val="2E5F8A"/>
          <w:sz w:val="28"/>
          <w:szCs w:val="28"/>
        </w:rPr>
        <w:t xml:space="preserve">Year 2–3 Federal Revenue Overlay</w:t>
      </w:r>
    </w:p>
    <w:p>
      <w:pPr>
        <w:spacing w:after="80" w:before="60"/>
      </w:pPr>
      <w:r>
        <w:rPr>
          <w:rFonts w:ascii="Arial" w:cs="Arial" w:eastAsia="Arial" w:hAnsi="Arial"/>
          <w:color w:val="111111"/>
          <w:sz w:val="22"/>
          <w:szCs w:val="22"/>
        </w:rPr>
        <w:t xml:space="preserve">Federal contracts accessed through SDVOSB and HUBZone set-asides typically range from $25,000–$250,000 for training and educational support services. A single federal award in Year 2 could double total revenue. The groundwork for that award is built entirely in Year 1 through local pilots.</w:t>
      </w:r>
    </w:p>
    <w:p>
      <w:pPr>
        <w:pStyle w:val="ListParagraph"/>
        <w:numPr>
          <w:ilvl w:val="0"/>
          <w:numId w:val="2"/>
        </w:numPr>
        <w:spacing w:after="40" w:before="40"/>
      </w:pPr>
      <w:r>
        <w:rPr>
          <w:rFonts w:ascii="Arial" w:cs="Arial" w:eastAsia="Arial" w:hAnsi="Arial"/>
          <w:b w:val="false"/>
          <w:bCs w:val="false"/>
          <w:color w:val="111111"/>
          <w:sz w:val="22"/>
          <w:szCs w:val="22"/>
        </w:rPr>
        <w:t xml:space="preserve">SDVOSB set-aside contracts: Federal agencies are required to set aside contracts for SDVOSBs when two or more capable vendors exist. VA is the highest-volume agency.</w:t>
      </w:r>
    </w:p>
    <w:p>
      <w:pPr>
        <w:pStyle w:val="ListParagraph"/>
        <w:numPr>
          <w:ilvl w:val="0"/>
          <w:numId w:val="2"/>
        </w:numPr>
        <w:spacing w:after="40" w:before="40"/>
      </w:pPr>
      <w:r>
        <w:rPr>
          <w:rFonts w:ascii="Arial" w:cs="Arial" w:eastAsia="Arial" w:hAnsi="Arial"/>
          <w:b w:val="false"/>
          <w:bCs w:val="false"/>
          <w:color w:val="111111"/>
          <w:sz w:val="22"/>
          <w:szCs w:val="22"/>
        </w:rPr>
        <w:t xml:space="preserve">HUBZone set-aside: 10% price evaluation preference plus set-aside access. Compounds with SDVOSB.</w:t>
      </w:r>
    </w:p>
    <w:p>
      <w:pPr>
        <w:pStyle w:val="ListParagraph"/>
        <w:numPr>
          <w:ilvl w:val="0"/>
          <w:numId w:val="2"/>
        </w:numPr>
        <w:spacing w:after="40" w:before="40"/>
      </w:pPr>
      <w:r>
        <w:rPr>
          <w:rFonts w:ascii="Arial" w:cs="Arial" w:eastAsia="Arial" w:hAnsi="Arial"/>
          <w:b w:val="false"/>
          <w:bCs w:val="false"/>
          <w:color w:val="111111"/>
          <w:sz w:val="22"/>
          <w:szCs w:val="22"/>
        </w:rPr>
        <w:t xml:space="preserve">GSA Schedule: Consider pursuing a GSA Schedule 70 or Professional Services Schedule in Year 2 to enable simplified federal purchasing</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06  |  IMPLEMENTATION ROADMAP</w:t>
            </w:r>
          </w:p>
        </w:tc>
      </w:tr>
    </w:tbl>
    <w:p>
      <w:pPr>
        <w:spacing w:after="60" w:before="60"/>
      </w:pPr>
      <w:r>
        <w:t xml:space="preserve"/>
      </w:r>
    </w:p>
    <w:p>
      <w:pPr>
        <w:spacing w:after="80" w:before="60"/>
      </w:pPr>
      <w:r>
        <w:rPr>
          <w:rFonts w:ascii="Arial" w:cs="Arial" w:eastAsia="Arial" w:hAnsi="Arial"/>
          <w:color w:val="111111"/>
          <w:sz w:val="22"/>
          <w:szCs w:val="22"/>
        </w:rPr>
        <w:t xml:space="preserve">The following milestones represent the critical path from current state to sustainable federal contract eligibility. Every item is sequenced by dependency — the DD-214 is the first domino.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Month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Obtain DD-214 from Dane Lingar; file SDVOSB on Veteran SBP portal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SDVOSB certification initiated</w:t>
            </w:r>
          </w:p>
        </w:tc>
      </w:tr>
      <w:tr>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Month 1</w:t>
            </w:r>
          </w:p>
        </w:tc>
        <w:tc>
          <w:tcPr>
            <w:tcW w:type="dxa" w:w="4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Confirm Clarksville HUBZone eligibility; file on SBA HUBZone portal</w:t>
            </w:r>
          </w:p>
        </w:tc>
        <w:tc>
          <w:tcPr>
            <w:tcW w:type="dxa" w:w="3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HUBZone certification initiated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Month 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Contact First Step Recovery and AA/NA contacts; pitch Part I pilot at $1,500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First signed contract</w:t>
            </w:r>
          </w:p>
        </w:tc>
      </w:tr>
      <w:tr>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Month 2</w:t>
            </w:r>
          </w:p>
        </w:tc>
        <w:tc>
          <w:tcPr>
            <w:tcW w:type="dxa" w:w="4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Contact community mental health leads; schedule presentations</w:t>
            </w:r>
          </w:p>
        </w:tc>
        <w:tc>
          <w:tcPr>
            <w:tcW w:type="dxa" w:w="3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Pipeline of 3–5 prospects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Month 2–3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Deliver first pilot; document participants, completion rates, feedback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Outcome report #1 generated</w:t>
            </w:r>
          </w:p>
        </w:tc>
      </w:tr>
      <w:tr>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Month 3</w:t>
            </w:r>
          </w:p>
        </w:tc>
        <w:tc>
          <w:tcPr>
            <w:tcW w:type="dxa" w:w="4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File outcome report on SAM.gov as past performance; update capability statement</w:t>
            </w:r>
          </w:p>
        </w:tc>
        <w:tc>
          <w:tcPr>
            <w:tcW w:type="dxa" w:w="3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Past performance record established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Month 3–4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Pursue second and third contracts; expand to workforce development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Revenue base building</w:t>
            </w:r>
          </w:p>
        </w:tc>
      </w:tr>
      <w:tr>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Month 4–6</w:t>
            </w:r>
          </w:p>
        </w:tc>
        <w:tc>
          <w:tcPr>
            <w:tcW w:type="dxa" w:w="4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Build toward 4–6 active contracts; refine facilitator materials from pilot feedback</w:t>
            </w:r>
          </w:p>
        </w:tc>
        <w:tc>
          <w:tcPr>
            <w:tcW w:type="dxa" w:w="3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Sustainable local revenue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Month 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Review federal opportunity landscape on SAM; identify SDVOSB set-aside contracts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Federal pipeline opened</w:t>
            </w:r>
          </w:p>
        </w:tc>
      </w:tr>
      <w:tr>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Month 6–12</w:t>
            </w:r>
          </w:p>
        </w:tc>
        <w:tc>
          <w:tcPr>
            <w:tcW w:type="dxa" w:w="4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Submit first federal proposal — VA, DOL, or SAMHSA grant-funded programs</w:t>
            </w:r>
          </w:p>
        </w:tc>
        <w:tc>
          <w:tcPr>
            <w:tcW w:type="dxa" w:w="3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color w:val="111111"/>
                <w:sz w:val="19"/>
                <w:szCs w:val="19"/>
              </w:rPr>
              <w:t xml:space="preserve">Federal contract attempt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Year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Leverage past performance + certifications for SDVOSB set-aside awards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Federal revenue enters mix</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07  |  SALES &amp; OUTREACH STRATEGY</w:t>
            </w:r>
          </w:p>
        </w:tc>
      </w:tr>
    </w:tbl>
    <w:p>
      <w:pPr>
        <w:spacing w:after="60" w:before="60"/>
      </w:pPr>
      <w:r>
        <w:t xml:space="preserve"/>
      </w:r>
    </w:p>
    <w:p>
      <w:pPr>
        <w:pStyle w:val="Heading2"/>
        <w:spacing w:after="100" w:before="280"/>
      </w:pPr>
      <w:r>
        <w:rPr>
          <w:rFonts w:ascii="Arial" w:cs="Arial" w:eastAsia="Arial" w:hAnsi="Arial"/>
          <w:b/>
          <w:bCs/>
          <w:color w:val="2E5F8A"/>
          <w:sz w:val="28"/>
          <w:szCs w:val="28"/>
        </w:rPr>
        <w:t xml:space="preserve">Immediate Outreach (Months 1–2)</w:t>
      </w:r>
    </w:p>
    <w:p>
      <w:pPr>
        <w:spacing w:after="80" w:before="60"/>
      </w:pPr>
      <w:r>
        <w:rPr>
          <w:rFonts w:ascii="Arial" w:cs="Arial" w:eastAsia="Arial" w:hAnsi="Arial"/>
          <w:color w:val="111111"/>
          <w:sz w:val="22"/>
          <w:szCs w:val="22"/>
        </w:rPr>
        <w:t xml:space="preserve">The warm leads in recovery and community mental health are the only asset that matters right now. Cold outreach takes months. Warm relationships close in weeks. The sequence:</w:t>
      </w:r>
    </w:p>
    <w:p>
      <w:pPr>
        <w:pStyle w:val="ListParagraph"/>
        <w:numPr>
          <w:ilvl w:val="0"/>
          <w:numId w:val="2"/>
        </w:numPr>
        <w:spacing w:after="40" w:before="40"/>
      </w:pPr>
      <w:r>
        <w:rPr>
          <w:rFonts w:ascii="Arial" w:cs="Arial" w:eastAsia="Arial" w:hAnsi="Arial"/>
          <w:b w:val="false"/>
          <w:bCs w:val="false"/>
          <w:color w:val="111111"/>
          <w:sz w:val="22"/>
          <w:szCs w:val="22"/>
        </w:rPr>
        <w:t xml:space="preserve">Step 1: Contact First Step Recovery directly. Request a 30-minute meeting. Bring a one-page overview and the pilot proposal ($1,500 for Part I).</w:t>
      </w:r>
    </w:p>
    <w:p>
      <w:pPr>
        <w:pStyle w:val="ListParagraph"/>
        <w:numPr>
          <w:ilvl w:val="0"/>
          <w:numId w:val="2"/>
        </w:numPr>
        <w:spacing w:after="40" w:before="40"/>
      </w:pPr>
      <w:r>
        <w:rPr>
          <w:rFonts w:ascii="Arial" w:cs="Arial" w:eastAsia="Arial" w:hAnsi="Arial"/>
          <w:b w:val="false"/>
          <w:bCs w:val="false"/>
          <w:color w:val="111111"/>
          <w:sz w:val="22"/>
          <w:szCs w:val="22"/>
        </w:rPr>
        <w:t xml:space="preserve">Step 2: Contact AA/NA chapter contacts. Frame it as a resource for meetings, not a competing program.</w:t>
      </w:r>
    </w:p>
    <w:p>
      <w:pPr>
        <w:pStyle w:val="ListParagraph"/>
        <w:numPr>
          <w:ilvl w:val="0"/>
          <w:numId w:val="2"/>
        </w:numPr>
        <w:spacing w:after="40" w:before="40"/>
      </w:pPr>
      <w:r>
        <w:rPr>
          <w:rFonts w:ascii="Arial" w:cs="Arial" w:eastAsia="Arial" w:hAnsi="Arial"/>
          <w:b w:val="false"/>
          <w:bCs w:val="false"/>
          <w:color w:val="111111"/>
          <w:sz w:val="22"/>
          <w:szCs w:val="22"/>
        </w:rPr>
        <w:t xml:space="preserve">Step 3: Contact community mental health contacts. Request to present to their clinical or training team.</w:t>
      </w:r>
    </w:p>
    <w:p>
      <w:pPr>
        <w:pStyle w:val="ListParagraph"/>
        <w:numPr>
          <w:ilvl w:val="0"/>
          <w:numId w:val="2"/>
        </w:numPr>
        <w:spacing w:after="40" w:before="40"/>
      </w:pPr>
      <w:r>
        <w:rPr>
          <w:rFonts w:ascii="Arial" w:cs="Arial" w:eastAsia="Arial" w:hAnsi="Arial"/>
          <w:b w:val="false"/>
          <w:bCs w:val="false"/>
          <w:color w:val="111111"/>
          <w:sz w:val="22"/>
          <w:szCs w:val="22"/>
        </w:rPr>
        <w:t xml:space="preserve">Step 4: Submit a proposal to Johnson County Detention Center through the Sheriff's Office relationship.</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Sales Materials — What You Need</w:t>
      </w:r>
    </w:p>
    <w:p>
      <w:pPr>
        <w:pStyle w:val="ListParagraph"/>
        <w:numPr>
          <w:ilvl w:val="0"/>
          <w:numId w:val="2"/>
        </w:numPr>
        <w:spacing w:after="40" w:before="40"/>
      </w:pPr>
      <w:r>
        <w:rPr>
          <w:rFonts w:ascii="Arial" w:cs="Arial" w:eastAsia="Arial" w:hAnsi="Arial"/>
          <w:b w:val="false"/>
          <w:bCs w:val="false"/>
          <w:color w:val="111111"/>
          <w:sz w:val="22"/>
          <w:szCs w:val="22"/>
        </w:rPr>
        <w:t xml:space="preserve">One-page overview (curriculum summary + pricing) — build from website content</w:t>
      </w:r>
    </w:p>
    <w:p>
      <w:pPr>
        <w:pStyle w:val="ListParagraph"/>
        <w:numPr>
          <w:ilvl w:val="0"/>
          <w:numId w:val="2"/>
        </w:numPr>
        <w:spacing w:after="40" w:before="40"/>
      </w:pPr>
      <w:r>
        <w:rPr>
          <w:rFonts w:ascii="Arial" w:cs="Arial" w:eastAsia="Arial" w:hAnsi="Arial"/>
          <w:b w:val="false"/>
          <w:bCs w:val="false"/>
          <w:color w:val="111111"/>
          <w:sz w:val="22"/>
          <w:szCs w:val="22"/>
        </w:rPr>
        <w:t xml:space="preserve">Pilot proposal template (contract-ready, $1,500 for Part I)</w:t>
      </w:r>
    </w:p>
    <w:p>
      <w:pPr>
        <w:pStyle w:val="ListParagraph"/>
        <w:numPr>
          <w:ilvl w:val="0"/>
          <w:numId w:val="2"/>
        </w:numPr>
        <w:spacing w:after="40" w:before="40"/>
      </w:pPr>
      <w:r>
        <w:rPr>
          <w:rFonts w:ascii="Arial" w:cs="Arial" w:eastAsia="Arial" w:hAnsi="Arial"/>
          <w:b w:val="false"/>
          <w:bCs w:val="false"/>
          <w:color w:val="111111"/>
          <w:sz w:val="22"/>
          <w:szCs w:val="22"/>
        </w:rPr>
        <w:t xml:space="preserve">Capability statement (SAM.gov formatted, 1 page)</w:t>
      </w:r>
    </w:p>
    <w:p>
      <w:pPr>
        <w:pStyle w:val="ListParagraph"/>
        <w:numPr>
          <w:ilvl w:val="0"/>
          <w:numId w:val="2"/>
        </w:numPr>
        <w:spacing w:after="40" w:before="40"/>
      </w:pPr>
      <w:r>
        <w:rPr>
          <w:rFonts w:ascii="Arial" w:cs="Arial" w:eastAsia="Arial" w:hAnsi="Arial"/>
          <w:b w:val="false"/>
          <w:bCs w:val="false"/>
          <w:color w:val="111111"/>
          <w:sz w:val="22"/>
          <w:szCs w:val="22"/>
        </w:rPr>
        <w:t xml:space="preserve">Outcome report template (pre-built so you can fill it in after each pilot)</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Ongoing Outreach Pipeline</w:t>
      </w:r>
    </w:p>
    <w:p>
      <w:pPr>
        <w:spacing w:after="80" w:before="60"/>
      </w:pPr>
      <w:r>
        <w:rPr>
          <w:rFonts w:ascii="Arial" w:cs="Arial" w:eastAsia="Arial" w:hAnsi="Arial"/>
          <w:color w:val="111111"/>
          <w:sz w:val="22"/>
          <w:szCs w:val="22"/>
        </w:rPr>
        <w:t xml:space="preserve">Once first contracts are signed, the outreach model shifts from warm-lead harvesting to documented-outcome selling. Every new prospect conversation starts with the outcome report from prior pilots. Data closes doors that cold pitches cannot.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8A" w:sz="24"/>
              <w:bottom w:val="single" w:color="CCCCCC" w:sz="1"/>
              <w:right w:val="none" w:color="FFFFFF" w:sz="0"/>
            </w:tcBorders>
            <w:shd w:fill="EAF1F8" w:val="clear"/>
            <w:tcMar>
              <w:top w:type="dxa" w:w="120"/>
              <w:left w:type="dxa" w:w="200"/>
              <w:bottom w:type="dxa" w:w="120"/>
              <w:right w:type="dxa" w:w="120"/>
            </w:tcMar>
          </w:tcPr>
          <w:p>
            <w:r>
              <w:rPr>
                <w:rFonts w:ascii="Arial" w:cs="Arial" w:eastAsia="Arial" w:hAnsi="Arial"/>
                <w:i/>
                <w:iCs/>
                <w:color w:val="1B3A5C"/>
                <w:sz w:val="22"/>
                <w:szCs w:val="22"/>
              </w:rPr>
              <w:t xml:space="preserve">The single most important sales move in Year 1 is delivering a pilot so well that the organization signs for the next module without being asked. That organic expansion is the business model.</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08  |  OUTCOME TRACKING SYSTEM</w:t>
            </w:r>
          </w:p>
        </w:tc>
      </w:tr>
    </w:tbl>
    <w:p>
      <w:pPr>
        <w:spacing w:after="60" w:before="60"/>
      </w:pPr>
      <w:r>
        <w:t xml:space="preserve"/>
      </w:r>
    </w:p>
    <w:p>
      <w:pPr>
        <w:spacing w:after="80" w:before="60"/>
      </w:pPr>
      <w:r>
        <w:rPr>
          <w:rFonts w:ascii="Arial" w:cs="Arial" w:eastAsia="Arial" w:hAnsi="Arial"/>
          <w:color w:val="111111"/>
          <w:sz w:val="22"/>
          <w:szCs w:val="22"/>
        </w:rPr>
        <w:t xml:space="preserve">Federal contracting officers and program directors both require evidence. The outcome tracking system must be built before the first pilot is delivered — not assembled afterward from memory.</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Minimum Data Collection Per Pilot</w:t>
      </w:r>
    </w:p>
    <w:p>
      <w:pPr>
        <w:pStyle w:val="ListParagraph"/>
        <w:numPr>
          <w:ilvl w:val="0"/>
          <w:numId w:val="2"/>
        </w:numPr>
        <w:spacing w:after="40" w:before="40"/>
      </w:pPr>
      <w:r>
        <w:rPr>
          <w:rFonts w:ascii="Arial" w:cs="Arial" w:eastAsia="Arial" w:hAnsi="Arial"/>
          <w:b w:val="false"/>
          <w:bCs w:val="false"/>
          <w:color w:val="111111"/>
          <w:sz w:val="22"/>
          <w:szCs w:val="22"/>
        </w:rPr>
        <w:t xml:space="preserve">Total enrolled participants</w:t>
      </w:r>
    </w:p>
    <w:p>
      <w:pPr>
        <w:pStyle w:val="ListParagraph"/>
        <w:numPr>
          <w:ilvl w:val="0"/>
          <w:numId w:val="2"/>
        </w:numPr>
        <w:spacing w:after="40" w:before="40"/>
      </w:pPr>
      <w:r>
        <w:rPr>
          <w:rFonts w:ascii="Arial" w:cs="Arial" w:eastAsia="Arial" w:hAnsi="Arial"/>
          <w:b w:val="false"/>
          <w:bCs w:val="false"/>
          <w:color w:val="111111"/>
          <w:sz w:val="22"/>
          <w:szCs w:val="22"/>
        </w:rPr>
        <w:t xml:space="preserve">Completion rate (sessions attended / sessions offered)</w:t>
      </w:r>
    </w:p>
    <w:p>
      <w:pPr>
        <w:pStyle w:val="ListParagraph"/>
        <w:numPr>
          <w:ilvl w:val="0"/>
          <w:numId w:val="2"/>
        </w:numPr>
        <w:spacing w:after="40" w:before="40"/>
      </w:pPr>
      <w:r>
        <w:rPr>
          <w:rFonts w:ascii="Arial" w:cs="Arial" w:eastAsia="Arial" w:hAnsi="Arial"/>
          <w:b w:val="false"/>
          <w:bCs w:val="false"/>
          <w:color w:val="111111"/>
          <w:sz w:val="22"/>
          <w:szCs w:val="22"/>
        </w:rPr>
        <w:t xml:space="preserve">Pre/post knowledge assessment: 10–15 question true/false or multiple choice instrument measuring CPTSD literacy</w:t>
      </w:r>
    </w:p>
    <w:p>
      <w:pPr>
        <w:pStyle w:val="ListParagraph"/>
        <w:numPr>
          <w:ilvl w:val="0"/>
          <w:numId w:val="2"/>
        </w:numPr>
        <w:spacing w:after="40" w:before="40"/>
      </w:pPr>
      <w:r>
        <w:rPr>
          <w:rFonts w:ascii="Arial" w:cs="Arial" w:eastAsia="Arial" w:hAnsi="Arial"/>
          <w:b w:val="false"/>
          <w:bCs w:val="false"/>
          <w:color w:val="111111"/>
          <w:sz w:val="22"/>
          <w:szCs w:val="22"/>
        </w:rPr>
        <w:t xml:space="preserve">Participant feedback form (3–5 questions, anonymous, written)</w:t>
      </w:r>
    </w:p>
    <w:p>
      <w:pPr>
        <w:pStyle w:val="ListParagraph"/>
        <w:numPr>
          <w:ilvl w:val="0"/>
          <w:numId w:val="2"/>
        </w:numPr>
        <w:spacing w:after="40" w:before="40"/>
      </w:pPr>
      <w:r>
        <w:rPr>
          <w:rFonts w:ascii="Arial" w:cs="Arial" w:eastAsia="Arial" w:hAnsi="Arial"/>
          <w:b w:val="false"/>
          <w:bCs w:val="false"/>
          <w:color w:val="111111"/>
          <w:sz w:val="22"/>
          <w:szCs w:val="22"/>
        </w:rPr>
        <w:t xml:space="preserve">Facilitator notes: What worked, what did not, population-specific observations</w:t>
      </w:r>
    </w:p>
    <w:p>
      <w:pPr>
        <w:pStyle w:val="ListParagraph"/>
        <w:numPr>
          <w:ilvl w:val="0"/>
          <w:numId w:val="2"/>
        </w:numPr>
        <w:spacing w:after="40" w:before="40"/>
      </w:pPr>
      <w:r>
        <w:rPr>
          <w:rFonts w:ascii="Arial" w:cs="Arial" w:eastAsia="Arial" w:hAnsi="Arial"/>
          <w:b w:val="false"/>
          <w:bCs w:val="false"/>
          <w:color w:val="111111"/>
          <w:sz w:val="22"/>
          <w:szCs w:val="22"/>
        </w:rPr>
        <w:t xml:space="preserve">Written outcome summary: 1–2 pages summarizing all of the above — already included in contract pricing</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What the Data Becomes</w:t>
      </w:r>
    </w:p>
    <w:p>
      <w:pPr>
        <w:pStyle w:val="ListParagraph"/>
        <w:numPr>
          <w:ilvl w:val="0"/>
          <w:numId w:val="2"/>
        </w:numPr>
        <w:spacing w:after="40" w:before="40"/>
      </w:pPr>
      <w:r>
        <w:rPr>
          <w:rFonts w:ascii="Arial" w:cs="Arial" w:eastAsia="Arial" w:hAnsi="Arial"/>
          <w:b w:val="false"/>
          <w:bCs w:val="false"/>
          <w:color w:val="111111"/>
          <w:sz w:val="22"/>
          <w:szCs w:val="22"/>
        </w:rPr>
        <w:t xml:space="preserve">Past performance narrative on SAM.gov — required for federal bids</w:t>
      </w:r>
    </w:p>
    <w:p>
      <w:pPr>
        <w:pStyle w:val="ListParagraph"/>
        <w:numPr>
          <w:ilvl w:val="0"/>
          <w:numId w:val="2"/>
        </w:numPr>
        <w:spacing w:after="40" w:before="40"/>
      </w:pPr>
      <w:r>
        <w:rPr>
          <w:rFonts w:ascii="Arial" w:cs="Arial" w:eastAsia="Arial" w:hAnsi="Arial"/>
          <w:b w:val="false"/>
          <w:bCs w:val="false"/>
          <w:color w:val="111111"/>
          <w:sz w:val="22"/>
          <w:szCs w:val="22"/>
        </w:rPr>
        <w:t xml:space="preserve">Evidence base for future grant applications (SAMHSA, DOJ, DOL)</w:t>
      </w:r>
    </w:p>
    <w:p>
      <w:pPr>
        <w:pStyle w:val="ListParagraph"/>
        <w:numPr>
          <w:ilvl w:val="0"/>
          <w:numId w:val="2"/>
        </w:numPr>
        <w:spacing w:after="40" w:before="40"/>
      </w:pPr>
      <w:r>
        <w:rPr>
          <w:rFonts w:ascii="Arial" w:cs="Arial" w:eastAsia="Arial" w:hAnsi="Arial"/>
          <w:b w:val="false"/>
          <w:bCs w:val="false"/>
          <w:color w:val="111111"/>
          <w:sz w:val="22"/>
          <w:szCs w:val="22"/>
        </w:rPr>
        <w:t xml:space="preserve">Sales material for new institutional prospects</w:t>
      </w:r>
    </w:p>
    <w:p>
      <w:pPr>
        <w:pStyle w:val="ListParagraph"/>
        <w:numPr>
          <w:ilvl w:val="0"/>
          <w:numId w:val="2"/>
        </w:numPr>
        <w:spacing w:after="40" w:before="40"/>
      </w:pPr>
      <w:r>
        <w:rPr>
          <w:rFonts w:ascii="Arial" w:cs="Arial" w:eastAsia="Arial" w:hAnsi="Arial"/>
          <w:b w:val="false"/>
          <w:bCs w:val="false"/>
          <w:color w:val="111111"/>
          <w:sz w:val="22"/>
          <w:szCs w:val="22"/>
        </w:rPr>
        <w:t xml:space="preserve">Foundation for eventual peer-reviewed publication or program evaluation (Year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8A" w:sz="24"/>
              <w:bottom w:val="single" w:color="CCCCCC" w:sz="1"/>
              <w:right w:val="none" w:color="FFFFFF" w:sz="0"/>
            </w:tcBorders>
            <w:shd w:fill="EAF1F8" w:val="clear"/>
            <w:tcMar>
              <w:top w:type="dxa" w:w="120"/>
              <w:left w:type="dxa" w:w="200"/>
              <w:bottom w:type="dxa" w:w="120"/>
              <w:right w:type="dxa" w:w="120"/>
            </w:tcMar>
          </w:tcPr>
          <w:p>
            <w:r>
              <w:rPr>
                <w:rFonts w:ascii="Arial" w:cs="Arial" w:eastAsia="Arial" w:hAnsi="Arial"/>
                <w:i/>
                <w:iCs/>
                <w:color w:val="1B3A5C"/>
                <w:sz w:val="22"/>
                <w:szCs w:val="22"/>
              </w:rPr>
              <w:t xml:space="preserve">You do not need a randomized controlled trial to win local contracts. You need completion rates and participant feedback. You do not need a peer-reviewed study to win federal contracts in Year 2. You need documented past performance. Build what you can build now.</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09  |  FEDERAL CONTRACTING STRATEGY</w:t>
            </w:r>
          </w:p>
        </w:tc>
      </w:tr>
    </w:tbl>
    <w:p>
      <w:pPr>
        <w:spacing w:after="60" w:before="60"/>
      </w:pPr>
      <w:r>
        <w:t xml:space="preserve"/>
      </w:r>
    </w:p>
    <w:p>
      <w:pPr>
        <w:pStyle w:val="Heading2"/>
        <w:spacing w:after="100" w:before="280"/>
      </w:pPr>
      <w:r>
        <w:rPr>
          <w:rFonts w:ascii="Arial" w:cs="Arial" w:eastAsia="Arial" w:hAnsi="Arial"/>
          <w:b/>
          <w:bCs/>
          <w:color w:val="2E5F8A"/>
          <w:sz w:val="28"/>
          <w:szCs w:val="28"/>
        </w:rPr>
        <w:t xml:space="preserve">How Federal Contracting Actually Works for This Business</w:t>
      </w:r>
    </w:p>
    <w:p>
      <w:pPr>
        <w:spacing w:after="80" w:before="60"/>
      </w:pPr>
      <w:r>
        <w:rPr>
          <w:rFonts w:ascii="Arial" w:cs="Arial" w:eastAsia="Arial" w:hAnsi="Arial"/>
          <w:color w:val="111111"/>
          <w:sz w:val="22"/>
          <w:szCs w:val="22"/>
        </w:rPr>
        <w:t xml:space="preserve">Federal contracting is not a lottery. It is a procurement system with defined preferences, set-asides, and documentation requirements. Capitol Contracts has a structurally strong position once certifications are in place: SDVOSB + HUBZone + rural location + a product category with active federal demand. The gap is past performance, which is solved entirely in Year 1.</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Set-Aside Advantages</w:t>
      </w:r>
    </w:p>
    <w:p>
      <w:pPr>
        <w:pStyle w:val="ListParagraph"/>
        <w:numPr>
          <w:ilvl w:val="0"/>
          <w:numId w:val="2"/>
        </w:numPr>
        <w:spacing w:after="40" w:before="40"/>
      </w:pPr>
      <w:r>
        <w:rPr>
          <w:rFonts w:ascii="Arial" w:cs="Arial" w:eastAsia="Arial" w:hAnsi="Arial"/>
          <w:b w:val="false"/>
          <w:bCs w:val="false"/>
          <w:color w:val="111111"/>
          <w:sz w:val="22"/>
          <w:szCs w:val="22"/>
        </w:rPr>
        <w:t xml:space="preserve">SDVOSB set-aside: VA is legally required to award contracts to SDVOSBs when two or more qualified vendors exist. The VA funds billions in training and educational services annually.</w:t>
      </w:r>
    </w:p>
    <w:p>
      <w:pPr>
        <w:pStyle w:val="ListParagraph"/>
        <w:numPr>
          <w:ilvl w:val="0"/>
          <w:numId w:val="2"/>
        </w:numPr>
        <w:spacing w:after="40" w:before="40"/>
      </w:pPr>
      <w:r>
        <w:rPr>
          <w:rFonts w:ascii="Arial" w:cs="Arial" w:eastAsia="Arial" w:hAnsi="Arial"/>
          <w:b w:val="false"/>
          <w:bCs w:val="false"/>
          <w:color w:val="111111"/>
          <w:sz w:val="22"/>
          <w:szCs w:val="22"/>
        </w:rPr>
        <w:t xml:space="preserve">HUBZone set-aside: Applies across all federal agencies. Combined with SDVOSB, Capitol Contracts can compete in a significantly reduced field.</w:t>
      </w:r>
    </w:p>
    <w:p>
      <w:pPr>
        <w:pStyle w:val="ListParagraph"/>
        <w:numPr>
          <w:ilvl w:val="0"/>
          <w:numId w:val="2"/>
        </w:numPr>
        <w:spacing w:after="40" w:before="40"/>
      </w:pPr>
      <w:r>
        <w:rPr>
          <w:rFonts w:ascii="Arial" w:cs="Arial" w:eastAsia="Arial" w:hAnsi="Arial"/>
          <w:b w:val="false"/>
          <w:bCs w:val="false"/>
          <w:color w:val="111111"/>
          <w:sz w:val="22"/>
          <w:szCs w:val="22"/>
        </w:rPr>
        <w:t xml:space="preserve">Small business set-aside: All contracts under the simplified acquisition threshold ($250,000) can be set aside for small businesses. Most Year 2 targets will be in this range.</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Target Federal Agencies (Year 2)</w:t>
      </w:r>
    </w:p>
    <w:p>
      <w:pPr>
        <w:pStyle w:val="ListParagraph"/>
        <w:numPr>
          <w:ilvl w:val="0"/>
          <w:numId w:val="2"/>
        </w:numPr>
        <w:spacing w:after="40" w:before="40"/>
      </w:pPr>
      <w:r>
        <w:rPr>
          <w:rFonts w:ascii="Arial" w:cs="Arial" w:eastAsia="Arial" w:hAnsi="Arial"/>
          <w:b w:val="false"/>
          <w:bCs w:val="false"/>
          <w:color w:val="111111"/>
          <w:sz w:val="22"/>
          <w:szCs w:val="22"/>
        </w:rPr>
        <w:t xml:space="preserve">Department of Veterans Affairs (VA): Veteran treatment courts, reentry programs, peer support training, PTSD psychoeducation</w:t>
      </w:r>
    </w:p>
    <w:p>
      <w:pPr>
        <w:pStyle w:val="ListParagraph"/>
        <w:numPr>
          <w:ilvl w:val="0"/>
          <w:numId w:val="2"/>
        </w:numPr>
        <w:spacing w:after="40" w:before="40"/>
      </w:pPr>
      <w:r>
        <w:rPr>
          <w:rFonts w:ascii="Arial" w:cs="Arial" w:eastAsia="Arial" w:hAnsi="Arial"/>
          <w:b w:val="false"/>
          <w:bCs w:val="false"/>
          <w:color w:val="111111"/>
          <w:sz w:val="22"/>
          <w:szCs w:val="22"/>
        </w:rPr>
        <w:t xml:space="preserve">Department of Labor (DOL): Re-Entry Employment Opportunities, workforce development grants, WIOA-funded programs</w:t>
      </w:r>
    </w:p>
    <w:p>
      <w:pPr>
        <w:pStyle w:val="ListParagraph"/>
        <w:numPr>
          <w:ilvl w:val="0"/>
          <w:numId w:val="2"/>
        </w:numPr>
        <w:spacing w:after="40" w:before="40"/>
      </w:pPr>
      <w:r>
        <w:rPr>
          <w:rFonts w:ascii="Arial" w:cs="Arial" w:eastAsia="Arial" w:hAnsi="Arial"/>
          <w:b w:val="false"/>
          <w:bCs w:val="false"/>
          <w:color w:val="111111"/>
          <w:sz w:val="22"/>
          <w:szCs w:val="22"/>
        </w:rPr>
        <w:t xml:space="preserve">SAMHSA: Substance Abuse and Mental Health block grant programs; trauma-informed care initiatives</w:t>
      </w:r>
    </w:p>
    <w:p>
      <w:pPr>
        <w:pStyle w:val="ListParagraph"/>
        <w:numPr>
          <w:ilvl w:val="0"/>
          <w:numId w:val="2"/>
        </w:numPr>
        <w:spacing w:after="40" w:before="40"/>
      </w:pPr>
      <w:r>
        <w:rPr>
          <w:rFonts w:ascii="Arial" w:cs="Arial" w:eastAsia="Arial" w:hAnsi="Arial"/>
          <w:b w:val="false"/>
          <w:bCs w:val="false"/>
          <w:color w:val="111111"/>
          <w:sz w:val="22"/>
          <w:szCs w:val="22"/>
        </w:rPr>
        <w:t xml:space="preserve">Department of Justice (DOJ): Bureau of Justice Assistance, Second Chance Act programs, violence prevention</w:t>
      </w:r>
    </w:p>
    <w:p>
      <w:pPr>
        <w:pStyle w:val="ListParagraph"/>
        <w:numPr>
          <w:ilvl w:val="0"/>
          <w:numId w:val="2"/>
        </w:numPr>
        <w:spacing w:after="40" w:before="40"/>
      </w:pPr>
      <w:r>
        <w:rPr>
          <w:rFonts w:ascii="Arial" w:cs="Arial" w:eastAsia="Arial" w:hAnsi="Arial"/>
          <w:b w:val="false"/>
          <w:bCs w:val="false"/>
          <w:color w:val="111111"/>
          <w:sz w:val="22"/>
          <w:szCs w:val="22"/>
        </w:rPr>
        <w:t xml:space="preserve">Bureau of Prisons: Community corrections, residential reentry centers</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PSC Code Alignment</w:t>
      </w:r>
    </w:p>
    <w:p>
      <w:pPr>
        <w:spacing w:after="80" w:before="60"/>
      </w:pPr>
      <w:r>
        <w:rPr>
          <w:rFonts w:ascii="Arial" w:cs="Arial" w:eastAsia="Arial" w:hAnsi="Arial"/>
          <w:color w:val="111111"/>
          <w:sz w:val="22"/>
          <w:szCs w:val="22"/>
        </w:rPr>
        <w:t xml:space="preserve">The following PSC codes are registered in SAM.gov and align with federal procurement categories for this curriculum:</w:t>
      </w:r>
    </w:p>
    <w:p>
      <w:pPr>
        <w:pStyle w:val="ListParagraph"/>
        <w:numPr>
          <w:ilvl w:val="0"/>
          <w:numId w:val="2"/>
        </w:numPr>
        <w:spacing w:after="40" w:before="40"/>
      </w:pPr>
      <w:r>
        <w:rPr>
          <w:rFonts w:ascii="Arial" w:cs="Arial" w:eastAsia="Arial" w:hAnsi="Arial"/>
          <w:b w:val="false"/>
          <w:bCs w:val="false"/>
          <w:color w:val="111111"/>
          <w:sz w:val="22"/>
          <w:szCs w:val="22"/>
        </w:rPr>
        <w:t xml:space="preserve">U009 — Education and Training: Other</w:t>
      </w:r>
    </w:p>
    <w:p>
      <w:pPr>
        <w:pStyle w:val="ListParagraph"/>
        <w:numPr>
          <w:ilvl w:val="0"/>
          <w:numId w:val="2"/>
        </w:numPr>
        <w:spacing w:after="40" w:before="40"/>
      </w:pPr>
      <w:r>
        <w:rPr>
          <w:rFonts w:ascii="Arial" w:cs="Arial" w:eastAsia="Arial" w:hAnsi="Arial"/>
          <w:b w:val="false"/>
          <w:bCs w:val="false"/>
          <w:color w:val="111111"/>
          <w:sz w:val="22"/>
          <w:szCs w:val="22"/>
        </w:rPr>
        <w:t xml:space="preserve">U099 — Training, Other</w:t>
      </w:r>
    </w:p>
    <w:p>
      <w:pPr>
        <w:pStyle w:val="ListParagraph"/>
        <w:numPr>
          <w:ilvl w:val="0"/>
          <w:numId w:val="2"/>
        </w:numPr>
        <w:spacing w:after="40" w:before="40"/>
      </w:pPr>
      <w:r>
        <w:rPr>
          <w:rFonts w:ascii="Arial" w:cs="Arial" w:eastAsia="Arial" w:hAnsi="Arial"/>
          <w:b w:val="false"/>
          <w:bCs w:val="false"/>
          <w:color w:val="111111"/>
          <w:sz w:val="22"/>
          <w:szCs w:val="22"/>
        </w:rPr>
        <w:t xml:space="preserve">U093 — Health Education and Training</w:t>
      </w:r>
    </w:p>
    <w:p>
      <w:pPr>
        <w:pStyle w:val="ListParagraph"/>
        <w:numPr>
          <w:ilvl w:val="0"/>
          <w:numId w:val="2"/>
        </w:numPr>
        <w:spacing w:after="40" w:before="40"/>
      </w:pPr>
      <w:r>
        <w:rPr>
          <w:rFonts w:ascii="Arial" w:cs="Arial" w:eastAsia="Arial" w:hAnsi="Arial"/>
          <w:b w:val="false"/>
          <w:bCs w:val="false"/>
          <w:color w:val="111111"/>
          <w:sz w:val="22"/>
          <w:szCs w:val="22"/>
        </w:rPr>
        <w:t xml:space="preserve">R699 — Support: Professional Services, Other</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10  |  ROLES &amp; OPERATIONS</w:t>
            </w:r>
          </w:p>
        </w:tc>
      </w:tr>
    </w:tbl>
    <w:p>
      <w:pPr>
        <w:spacing w:after="60" w:before="60"/>
      </w:pPr>
      <w:r>
        <w:t xml:space="preserve"/>
      </w:r>
    </w:p>
    <w:p>
      <w:pPr>
        <w:pStyle w:val="Heading2"/>
        <w:spacing w:after="100" w:before="280"/>
      </w:pPr>
      <w:r>
        <w:rPr>
          <w:rFonts w:ascii="Arial" w:cs="Arial" w:eastAsia="Arial" w:hAnsi="Arial"/>
          <w:b/>
          <w:bCs/>
          <w:color w:val="2E5F8A"/>
          <w:sz w:val="28"/>
          <w:szCs w:val="28"/>
        </w:rPr>
        <w:t xml:space="preserve">Dane Lingar — 51% Owner, CFO</w:t>
      </w:r>
    </w:p>
    <w:p>
      <w:pPr>
        <w:pStyle w:val="ListParagraph"/>
        <w:numPr>
          <w:ilvl w:val="0"/>
          <w:numId w:val="2"/>
        </w:numPr>
        <w:spacing w:after="40" w:before="40"/>
      </w:pPr>
      <w:r>
        <w:rPr>
          <w:rFonts w:ascii="Arial" w:cs="Arial" w:eastAsia="Arial" w:hAnsi="Arial"/>
          <w:b w:val="false"/>
          <w:bCs w:val="false"/>
          <w:color w:val="111111"/>
          <w:sz w:val="22"/>
          <w:szCs w:val="22"/>
        </w:rPr>
        <w:t xml:space="preserve">Holds qualifying veteran status for SDVOSB certification</w:t>
      </w:r>
    </w:p>
    <w:p>
      <w:pPr>
        <w:pStyle w:val="ListParagraph"/>
        <w:numPr>
          <w:ilvl w:val="0"/>
          <w:numId w:val="2"/>
        </w:numPr>
        <w:spacing w:after="40" w:before="40"/>
      </w:pPr>
      <w:r>
        <w:rPr>
          <w:rFonts w:ascii="Arial" w:cs="Arial" w:eastAsia="Arial" w:hAnsi="Arial"/>
          <w:b w:val="false"/>
          <w:bCs w:val="false"/>
          <w:color w:val="111111"/>
          <w:sz w:val="22"/>
          <w:szCs w:val="22"/>
        </w:rPr>
        <w:t xml:space="preserve">Manages financial reporting, tax filings, and accounting infrastructure</w:t>
      </w:r>
    </w:p>
    <w:p>
      <w:pPr>
        <w:pStyle w:val="ListParagraph"/>
        <w:numPr>
          <w:ilvl w:val="0"/>
          <w:numId w:val="2"/>
        </w:numPr>
        <w:spacing w:after="40" w:before="40"/>
      </w:pPr>
      <w:r>
        <w:rPr>
          <w:rFonts w:ascii="Arial" w:cs="Arial" w:eastAsia="Arial" w:hAnsi="Arial"/>
          <w:b w:val="false"/>
          <w:bCs w:val="false"/>
          <w:color w:val="111111"/>
          <w:sz w:val="22"/>
          <w:szCs w:val="22"/>
        </w:rPr>
        <w:t xml:space="preserve">Signs off on federal proposals and contract vehicles as majority owner</w:t>
      </w:r>
    </w:p>
    <w:p>
      <w:pPr>
        <w:pStyle w:val="ListParagraph"/>
        <w:numPr>
          <w:ilvl w:val="0"/>
          <w:numId w:val="2"/>
        </w:numPr>
        <w:spacing w:after="40" w:before="40"/>
      </w:pPr>
      <w:r>
        <w:rPr>
          <w:rFonts w:ascii="Arial" w:cs="Arial" w:eastAsia="Arial" w:hAnsi="Arial"/>
          <w:b w:val="false"/>
          <w:bCs w:val="false"/>
          <w:color w:val="111111"/>
          <w:sz w:val="22"/>
          <w:szCs w:val="22"/>
        </w:rPr>
        <w:t xml:space="preserve">Responsible for DD-214 retrieval and certification filing coordination</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Daniel Lingar — 49% Owner, CEO / Program Director</w:t>
      </w:r>
    </w:p>
    <w:p>
      <w:pPr>
        <w:pStyle w:val="ListParagraph"/>
        <w:numPr>
          <w:ilvl w:val="0"/>
          <w:numId w:val="2"/>
        </w:numPr>
        <w:spacing w:after="40" w:before="40"/>
      </w:pPr>
      <w:r>
        <w:rPr>
          <w:rFonts w:ascii="Arial" w:cs="Arial" w:eastAsia="Arial" w:hAnsi="Arial"/>
          <w:b w:val="false"/>
          <w:bCs w:val="false"/>
          <w:color w:val="111111"/>
          <w:sz w:val="22"/>
          <w:szCs w:val="22"/>
        </w:rPr>
        <w:t xml:space="preserve">Developed and authored all 18 facilitator scripts and participant materials</w:t>
      </w:r>
    </w:p>
    <w:p>
      <w:pPr>
        <w:pStyle w:val="ListParagraph"/>
        <w:numPr>
          <w:ilvl w:val="0"/>
          <w:numId w:val="2"/>
        </w:numPr>
        <w:spacing w:after="40" w:before="40"/>
      </w:pPr>
      <w:r>
        <w:rPr>
          <w:rFonts w:ascii="Arial" w:cs="Arial" w:eastAsia="Arial" w:hAnsi="Arial"/>
          <w:b w:val="false"/>
          <w:bCs w:val="false"/>
          <w:color w:val="111111"/>
          <w:sz w:val="22"/>
          <w:szCs w:val="22"/>
        </w:rPr>
        <w:t xml:space="preserve">Primary sales, outreach, and relationship management</w:t>
      </w:r>
    </w:p>
    <w:p>
      <w:pPr>
        <w:pStyle w:val="ListParagraph"/>
        <w:numPr>
          <w:ilvl w:val="0"/>
          <w:numId w:val="2"/>
        </w:numPr>
        <w:spacing w:after="40" w:before="40"/>
      </w:pPr>
      <w:r>
        <w:rPr>
          <w:rFonts w:ascii="Arial" w:cs="Arial" w:eastAsia="Arial" w:hAnsi="Arial"/>
          <w:b w:val="false"/>
          <w:bCs w:val="false"/>
          <w:color w:val="111111"/>
          <w:sz w:val="22"/>
          <w:szCs w:val="22"/>
        </w:rPr>
        <w:t xml:space="preserve">Delivers curriculum or trains facilitators at partner organizations</w:t>
      </w:r>
    </w:p>
    <w:p>
      <w:pPr>
        <w:pStyle w:val="ListParagraph"/>
        <w:numPr>
          <w:ilvl w:val="0"/>
          <w:numId w:val="2"/>
        </w:numPr>
        <w:spacing w:after="40" w:before="40"/>
      </w:pPr>
      <w:r>
        <w:rPr>
          <w:rFonts w:ascii="Arial" w:cs="Arial" w:eastAsia="Arial" w:hAnsi="Arial"/>
          <w:b w:val="false"/>
          <w:bCs w:val="false"/>
          <w:color w:val="111111"/>
          <w:sz w:val="22"/>
          <w:szCs w:val="22"/>
        </w:rPr>
        <w:t xml:space="preserve">Manages SAM.gov profile, capability statements, and proposal writing</w:t>
      </w:r>
    </w:p>
    <w:p>
      <w:pPr>
        <w:pStyle w:val="ListParagraph"/>
        <w:numPr>
          <w:ilvl w:val="0"/>
          <w:numId w:val="2"/>
        </w:numPr>
        <w:spacing w:after="40" w:before="40"/>
      </w:pPr>
      <w:r>
        <w:rPr>
          <w:rFonts w:ascii="Arial" w:cs="Arial" w:eastAsia="Arial" w:hAnsi="Arial"/>
          <w:b w:val="false"/>
          <w:bCs w:val="false"/>
          <w:color w:val="111111"/>
          <w:sz w:val="22"/>
          <w:szCs w:val="22"/>
        </w:rPr>
        <w:t xml:space="preserve">Operates the company website and digital presence</w:t>
      </w:r>
    </w:p>
    <w:p>
      <w:pPr>
        <w:spacing w:after="60" w:before="60"/>
      </w:pPr>
      <w:r>
        <w:t xml:space="preserve"/>
      </w:r>
    </w:p>
    <w:p>
      <w:pPr>
        <w:pStyle w:val="Heading2"/>
        <w:spacing w:after="100" w:before="280"/>
      </w:pPr>
      <w:r>
        <w:rPr>
          <w:rFonts w:ascii="Arial" w:cs="Arial" w:eastAsia="Arial" w:hAnsi="Arial"/>
          <w:b/>
          <w:bCs/>
          <w:color w:val="2E5F8A"/>
          <w:sz w:val="28"/>
          <w:szCs w:val="28"/>
        </w:rPr>
        <w:t xml:space="preserve">Overhead and Operating Costs (Year 1)</w:t>
      </w:r>
    </w:p>
    <w:p>
      <w:pPr>
        <w:spacing w:after="80" w:before="60"/>
      </w:pPr>
      <w:r>
        <w:rPr>
          <w:rFonts w:ascii="Arial" w:cs="Arial" w:eastAsia="Arial" w:hAnsi="Arial"/>
          <w:color w:val="111111"/>
          <w:sz w:val="22"/>
          <w:szCs w:val="22"/>
        </w:rPr>
        <w:t xml:space="preserve">Capitol Contracts is designed to operate lean. Marginal costs per contract are low because the product is already built. Primary ongoing costs:</w:t>
      </w:r>
    </w:p>
    <w:p>
      <w:pPr>
        <w:pStyle w:val="ListParagraph"/>
        <w:numPr>
          <w:ilvl w:val="0"/>
          <w:numId w:val="2"/>
        </w:numPr>
        <w:spacing w:after="40" w:before="40"/>
      </w:pPr>
      <w:r>
        <w:rPr>
          <w:rFonts w:ascii="Arial" w:cs="Arial" w:eastAsia="Arial" w:hAnsi="Arial"/>
          <w:b w:val="false"/>
          <w:bCs w:val="false"/>
          <w:color w:val="111111"/>
          <w:sz w:val="22"/>
          <w:szCs w:val="22"/>
        </w:rPr>
        <w:t xml:space="preserve">SAM.gov registration: Free (annual renewal required)</w:t>
      </w:r>
    </w:p>
    <w:p>
      <w:pPr>
        <w:pStyle w:val="ListParagraph"/>
        <w:numPr>
          <w:ilvl w:val="0"/>
          <w:numId w:val="2"/>
        </w:numPr>
        <w:spacing w:after="40" w:before="40"/>
      </w:pPr>
      <w:r>
        <w:rPr>
          <w:rFonts w:ascii="Arial" w:cs="Arial" w:eastAsia="Arial" w:hAnsi="Arial"/>
          <w:b w:val="false"/>
          <w:bCs w:val="false"/>
          <w:color w:val="111111"/>
          <w:sz w:val="22"/>
          <w:szCs w:val="22"/>
        </w:rPr>
        <w:t xml:space="preserve">Certification filings (SDVOSB, HUBZone): Free through SBA/VA portals</w:t>
      </w:r>
    </w:p>
    <w:p>
      <w:pPr>
        <w:pStyle w:val="ListParagraph"/>
        <w:numPr>
          <w:ilvl w:val="0"/>
          <w:numId w:val="2"/>
        </w:numPr>
        <w:spacing w:after="40" w:before="40"/>
      </w:pPr>
      <w:r>
        <w:rPr>
          <w:rFonts w:ascii="Arial" w:cs="Arial" w:eastAsia="Arial" w:hAnsi="Arial"/>
          <w:b w:val="false"/>
          <w:bCs w:val="false"/>
          <w:color w:val="111111"/>
          <w:sz w:val="22"/>
          <w:szCs w:val="22"/>
        </w:rPr>
        <w:t xml:space="preserve">Printing and materials per pilot: $50–$150</w:t>
      </w:r>
    </w:p>
    <w:p>
      <w:pPr>
        <w:pStyle w:val="ListParagraph"/>
        <w:numPr>
          <w:ilvl w:val="0"/>
          <w:numId w:val="2"/>
        </w:numPr>
        <w:spacing w:after="40" w:before="40"/>
      </w:pPr>
      <w:r>
        <w:rPr>
          <w:rFonts w:ascii="Arial" w:cs="Arial" w:eastAsia="Arial" w:hAnsi="Arial"/>
          <w:b w:val="false"/>
          <w:bCs w:val="false"/>
          <w:color w:val="111111"/>
          <w:sz w:val="22"/>
          <w:szCs w:val="22"/>
        </w:rPr>
        <w:t xml:space="preserve">Travel (local): Minimal; Johnson County focus keeps costs low</w:t>
      </w:r>
    </w:p>
    <w:p>
      <w:pPr>
        <w:pStyle w:val="ListParagraph"/>
        <w:numPr>
          <w:ilvl w:val="0"/>
          <w:numId w:val="2"/>
        </w:numPr>
        <w:spacing w:after="40" w:before="40"/>
      </w:pPr>
      <w:r>
        <w:rPr>
          <w:rFonts w:ascii="Arial" w:cs="Arial" w:eastAsia="Arial" w:hAnsi="Arial"/>
          <w:b w:val="false"/>
          <w:bCs w:val="false"/>
          <w:color w:val="111111"/>
          <w:sz w:val="22"/>
          <w:szCs w:val="22"/>
        </w:rPr>
        <w:t xml:space="preserve">Website hosting: Free (GitHub Pages)</w:t>
      </w:r>
    </w:p>
    <w:p>
      <w:pPr>
        <w:pStyle w:val="ListParagraph"/>
        <w:numPr>
          <w:ilvl w:val="0"/>
          <w:numId w:val="2"/>
        </w:numPr>
        <w:spacing w:after="40" w:before="40"/>
      </w:pPr>
      <w:r>
        <w:rPr>
          <w:rFonts w:ascii="Arial" w:cs="Arial" w:eastAsia="Arial" w:hAnsi="Arial"/>
          <w:b w:val="false"/>
          <w:bCs w:val="false"/>
          <w:color w:val="111111"/>
          <w:sz w:val="22"/>
          <w:szCs w:val="22"/>
        </w:rPr>
        <w:t xml:space="preserve">Accounting (Dane): In-house</w:t>
      </w:r>
    </w:p>
    <w:p>
      <w:pPr>
        <w:pStyle w:val="ListParagraph"/>
        <w:numPr>
          <w:ilvl w:val="0"/>
          <w:numId w:val="2"/>
        </w:numPr>
        <w:spacing w:after="40" w:before="40"/>
      </w:pPr>
      <w:r>
        <w:rPr>
          <w:rFonts w:ascii="Arial" w:cs="Arial" w:eastAsia="Arial" w:hAnsi="Arial"/>
          <w:b w:val="false"/>
          <w:bCs w:val="false"/>
          <w:color w:val="111111"/>
          <w:sz w:val="22"/>
          <w:szCs w:val="22"/>
        </w:rPr>
        <w:t xml:space="preserve">Estimated Year 1 operating cost: Under $2,000 excluding any staff expansion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8A" w:sz="24"/>
              <w:bottom w:val="single" w:color="CCCCCC" w:sz="1"/>
              <w:right w:val="none" w:color="FFFFFF" w:sz="0"/>
            </w:tcBorders>
            <w:shd w:fill="EAF1F8" w:val="clear"/>
            <w:tcMar>
              <w:top w:type="dxa" w:w="120"/>
              <w:left w:type="dxa" w:w="200"/>
              <w:bottom w:type="dxa" w:w="120"/>
              <w:right w:type="dxa" w:w="120"/>
            </w:tcMar>
          </w:tcPr>
          <w:p>
            <w:r>
              <w:rPr>
                <w:rFonts w:ascii="Arial" w:cs="Arial" w:eastAsia="Arial" w:hAnsi="Arial"/>
                <w:i/>
                <w:iCs/>
                <w:color w:val="1B3A5C"/>
                <w:sz w:val="22"/>
                <w:szCs w:val="22"/>
              </w:rPr>
              <w:t xml:space="preserve">The margin on this product is exceptionally high. A $1,500 Part I delivery costs roughly $100–$200 in materials and time. The leverage point is volume, not margin expansion.</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11  |  RISKS &amp; HONEST ASSESSMENT</w:t>
            </w:r>
          </w:p>
        </w:tc>
      </w:tr>
    </w:tbl>
    <w:p>
      <w:pPr>
        <w:spacing w:after="60" w:before="60"/>
      </w:pPr>
      <w:r>
        <w:t xml:space="preserve"/>
      </w:r>
    </w:p>
    <w:p>
      <w:pPr>
        <w:spacing w:after="80" w:before="60"/>
      </w:pPr>
      <w:r>
        <w:rPr>
          <w:rFonts w:ascii="Arial" w:cs="Arial" w:eastAsia="Arial" w:hAnsi="Arial"/>
          <w:color w:val="111111"/>
          <w:sz w:val="22"/>
          <w:szCs w:val="22"/>
        </w:rPr>
        <w:t xml:space="preserve">This plan is realistic but not guaranteed. The following risks are real and should be managed directly.</w:t>
      </w:r>
    </w:p>
    <w:p>
      <w:pPr>
        <w:spacing w:after="60" w:before="60"/>
      </w:pPr>
      <w:r>
        <w:t xml:space="preserve"/>
      </w:r>
    </w:p>
    <w:p>
      <w:pPr>
        <w:spacing w:after="80" w:before="200"/>
      </w:pPr>
      <w:r>
        <w:rPr>
          <w:rFonts w:ascii="Arial" w:cs="Arial" w:eastAsia="Arial" w:hAnsi="Arial"/>
          <w:b/>
          <w:bCs/>
          <w:color w:val="111111"/>
          <w:sz w:val="24"/>
          <w:szCs w:val="24"/>
        </w:rPr>
        <w:t xml:space="preserve">Risk 1: Certification Delays</w:t>
      </w:r>
    </w:p>
    <w:p>
      <w:pPr>
        <w:spacing w:after="80" w:before="60"/>
      </w:pPr>
      <w:r>
        <w:rPr>
          <w:rFonts w:ascii="Arial" w:cs="Arial" w:eastAsia="Arial" w:hAnsi="Arial"/>
          <w:color w:val="111111"/>
          <w:sz w:val="22"/>
          <w:szCs w:val="22"/>
        </w:rPr>
        <w:t xml:space="preserve">SDVOSB and HUBZone certifications can take 30–90 days each. If the DD-214 retrieval is delayed, everything downstream is delayed. This is the highest-priority task in Month 1. Do not wait on it.</w:t>
      </w:r>
    </w:p>
    <w:p>
      <w:pPr>
        <w:spacing w:after="60" w:before="60"/>
      </w:pPr>
      <w:r>
        <w:t xml:space="preserve"/>
      </w:r>
    </w:p>
    <w:p>
      <w:pPr>
        <w:spacing w:after="80" w:before="200"/>
      </w:pPr>
      <w:r>
        <w:rPr>
          <w:rFonts w:ascii="Arial" w:cs="Arial" w:eastAsia="Arial" w:hAnsi="Arial"/>
          <w:b/>
          <w:bCs/>
          <w:color w:val="111111"/>
          <w:sz w:val="24"/>
          <w:szCs w:val="24"/>
        </w:rPr>
        <w:t xml:space="preserve">Risk 2: Long Local Sales Cycles</w:t>
      </w:r>
    </w:p>
    <w:p>
      <w:pPr>
        <w:spacing w:after="80" w:before="60"/>
      </w:pPr>
      <w:r>
        <w:rPr>
          <w:rFonts w:ascii="Arial" w:cs="Arial" w:eastAsia="Arial" w:hAnsi="Arial"/>
          <w:color w:val="111111"/>
          <w:sz w:val="22"/>
          <w:szCs w:val="22"/>
        </w:rPr>
        <w:t xml:space="preserve">Institutions move slowly. A warm relationship does not mean a fast contract. Budget approval, internal sign-off, and scheduling can extend a 2-week conversation into a 3-month process. Pursue multiple leads simultaneously to avoid a single-pipeline failure killing momentum.</w:t>
      </w:r>
    </w:p>
    <w:p>
      <w:pPr>
        <w:spacing w:after="60" w:before="60"/>
      </w:pPr>
      <w:r>
        <w:t xml:space="preserve"/>
      </w:r>
    </w:p>
    <w:p>
      <w:pPr>
        <w:spacing w:after="80" w:before="200"/>
      </w:pPr>
      <w:r>
        <w:rPr>
          <w:rFonts w:ascii="Arial" w:cs="Arial" w:eastAsia="Arial" w:hAnsi="Arial"/>
          <w:b/>
          <w:bCs/>
          <w:color w:val="111111"/>
          <w:sz w:val="24"/>
          <w:szCs w:val="24"/>
        </w:rPr>
        <w:t xml:space="preserve">Risk 3: No Clinical Evidence Base</w:t>
      </w:r>
    </w:p>
    <w:p>
      <w:pPr>
        <w:spacing w:after="80" w:before="60"/>
      </w:pPr>
      <w:r>
        <w:rPr>
          <w:rFonts w:ascii="Arial" w:cs="Arial" w:eastAsia="Arial" w:hAnsi="Arial"/>
          <w:color w:val="111111"/>
          <w:sz w:val="22"/>
          <w:szCs w:val="22"/>
        </w:rPr>
        <w:t xml:space="preserve">The curriculum is not an evidence-based clinical intervention in the RCT sense. Some funders and larger institutions will require this before adoption. The answer is not to fake it — it is to be transparent about what this is (psychoeducation, not treatment) and target markets where that distinction is understood and acceptable. Corrections and peer support programs rarely require RCT evidence. Clinical programs sometimes do.</w:t>
      </w:r>
    </w:p>
    <w:p>
      <w:pPr>
        <w:spacing w:after="60" w:before="60"/>
      </w:pPr>
      <w:r>
        <w:t xml:space="preserve"/>
      </w:r>
    </w:p>
    <w:p>
      <w:pPr>
        <w:spacing w:after="80" w:before="200"/>
      </w:pPr>
      <w:r>
        <w:rPr>
          <w:rFonts w:ascii="Arial" w:cs="Arial" w:eastAsia="Arial" w:hAnsi="Arial"/>
          <w:b/>
          <w:bCs/>
          <w:color w:val="111111"/>
          <w:sz w:val="24"/>
          <w:szCs w:val="24"/>
        </w:rPr>
        <w:t xml:space="preserve">Risk 4: Facilitator Dependency</w:t>
      </w:r>
    </w:p>
    <w:p>
      <w:pPr>
        <w:spacing w:after="80" w:before="60"/>
      </w:pPr>
      <w:r>
        <w:rPr>
          <w:rFonts w:ascii="Arial" w:cs="Arial" w:eastAsia="Arial" w:hAnsi="Arial"/>
          <w:color w:val="111111"/>
          <w:sz w:val="22"/>
          <w:szCs w:val="22"/>
        </w:rPr>
        <w:t xml:space="preserve">Currently, Daniel Lingar is the primary facilitator. This caps delivery capacity. Year 2 should include development of a train-the-trainer protocol that enables institutional staff to facilitate independently. This also dramatically increases scalability for federal contracts.</w:t>
      </w:r>
    </w:p>
    <w:p>
      <w:pPr>
        <w:spacing w:after="60" w:before="60"/>
      </w:pPr>
      <w:r>
        <w:t xml:space="preserve"/>
      </w:r>
    </w:p>
    <w:p>
      <w:pPr>
        <w:spacing w:after="80" w:before="200"/>
      </w:pPr>
      <w:r>
        <w:rPr>
          <w:rFonts w:ascii="Arial" w:cs="Arial" w:eastAsia="Arial" w:hAnsi="Arial"/>
          <w:b/>
          <w:bCs/>
          <w:color w:val="111111"/>
          <w:sz w:val="24"/>
          <w:szCs w:val="24"/>
        </w:rPr>
        <w:t xml:space="preserve">Risk 5: Warrant Status</w:t>
      </w:r>
    </w:p>
    <w:p>
      <w:pPr>
        <w:spacing w:after="80" w:before="60"/>
      </w:pPr>
      <w:r>
        <w:rPr>
          <w:rFonts w:ascii="Arial" w:cs="Arial" w:eastAsia="Arial" w:hAnsi="Arial"/>
          <w:color w:val="111111"/>
          <w:sz w:val="22"/>
          <w:szCs w:val="22"/>
        </w:rPr>
        <w:t xml:space="preserve">Active misdemeanor warrants in Johnson County create reputational and practical risk, particularly when pursuing contracts with the Sheriff's Office or ADC. Resolving these through public defender Presley Engle before submitting formal institutional proposals is strongly advised.</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r>
              <w:rPr>
                <w:rFonts w:ascii="Arial" w:cs="Arial" w:eastAsia="Arial" w:hAnsi="Arial"/>
                <w:b/>
                <w:bCs/>
                <w:color w:val="FFFFFF"/>
                <w:sz w:val="28"/>
                <w:szCs w:val="28"/>
              </w:rPr>
              <w:t xml:space="preserve">12  |  THREE-YEAR VISION</w:t>
            </w:r>
          </w:p>
        </w:tc>
      </w:tr>
    </w:tbl>
    <w:p>
      <w:pPr>
        <w:spacing w:after="60" w:before="60"/>
      </w:pPr>
      <w:r>
        <w:t xml:space="preserve"/>
      </w:r>
    </w:p>
    <w:p>
      <w:pPr>
        <w:spacing w:after="80" w:before="60"/>
      </w:pPr>
      <w:r>
        <w:rPr>
          <w:rFonts w:ascii="Arial" w:cs="Arial" w:eastAsia="Arial" w:hAnsi="Arial"/>
          <w:color w:val="111111"/>
          <w:sz w:val="22"/>
          <w:szCs w:val="22"/>
        </w:rPr>
        <w:t xml:space="preserve">The following represents where this business can be in 36 months if Year 1 execution is solid.</w:t>
      </w:r>
    </w:p>
    <w:p>
      <w:pPr>
        <w:spacing w:after="60" w:before="60"/>
      </w:pPr>
      <w:r>
        <w:t xml:space="preserve"/>
      </w:r>
    </w:p>
    <w:p>
      <w:pPr>
        <w:spacing w:after="80" w:before="200"/>
      </w:pPr>
      <w:r>
        <w:rPr>
          <w:rFonts w:ascii="Arial" w:cs="Arial" w:eastAsia="Arial" w:hAnsi="Arial"/>
          <w:b/>
          <w:bCs/>
          <w:color w:val="111111"/>
          <w:sz w:val="24"/>
          <w:szCs w:val="24"/>
        </w:rPr>
        <w:t xml:space="preserve">Year 1: Infrastructure and Proof</w:t>
      </w:r>
    </w:p>
    <w:p>
      <w:pPr>
        <w:pStyle w:val="ListParagraph"/>
        <w:numPr>
          <w:ilvl w:val="0"/>
          <w:numId w:val="2"/>
        </w:numPr>
        <w:spacing w:after="40" w:before="40"/>
      </w:pPr>
      <w:r>
        <w:rPr>
          <w:rFonts w:ascii="Arial" w:cs="Arial" w:eastAsia="Arial" w:hAnsi="Arial"/>
          <w:b w:val="false"/>
          <w:bCs w:val="false"/>
          <w:color w:val="111111"/>
          <w:sz w:val="22"/>
          <w:szCs w:val="22"/>
        </w:rPr>
        <w:t xml:space="preserve">4–8 local contracts executed</w:t>
      </w:r>
    </w:p>
    <w:p>
      <w:pPr>
        <w:pStyle w:val="ListParagraph"/>
        <w:numPr>
          <w:ilvl w:val="0"/>
          <w:numId w:val="2"/>
        </w:numPr>
        <w:spacing w:after="40" w:before="40"/>
      </w:pPr>
      <w:r>
        <w:rPr>
          <w:rFonts w:ascii="Arial" w:cs="Arial" w:eastAsia="Arial" w:hAnsi="Arial"/>
          <w:b w:val="false"/>
          <w:bCs w:val="false"/>
          <w:color w:val="111111"/>
          <w:sz w:val="22"/>
          <w:szCs w:val="22"/>
        </w:rPr>
        <w:t xml:space="preserve">SDVOSB and HUBZone certifications complete</w:t>
      </w:r>
    </w:p>
    <w:p>
      <w:pPr>
        <w:pStyle w:val="ListParagraph"/>
        <w:numPr>
          <w:ilvl w:val="0"/>
          <w:numId w:val="2"/>
        </w:numPr>
        <w:spacing w:after="40" w:before="40"/>
      </w:pPr>
      <w:r>
        <w:rPr>
          <w:rFonts w:ascii="Arial" w:cs="Arial" w:eastAsia="Arial" w:hAnsi="Arial"/>
          <w:b w:val="false"/>
          <w:bCs w:val="false"/>
          <w:color w:val="111111"/>
          <w:sz w:val="22"/>
          <w:szCs w:val="22"/>
        </w:rPr>
        <w:t xml:space="preserve">Past performance record established on SAM.gov</w:t>
      </w:r>
    </w:p>
    <w:p>
      <w:pPr>
        <w:pStyle w:val="ListParagraph"/>
        <w:numPr>
          <w:ilvl w:val="0"/>
          <w:numId w:val="2"/>
        </w:numPr>
        <w:spacing w:after="40" w:before="40"/>
      </w:pPr>
      <w:r>
        <w:rPr>
          <w:rFonts w:ascii="Arial" w:cs="Arial" w:eastAsia="Arial" w:hAnsi="Arial"/>
          <w:b w:val="false"/>
          <w:bCs w:val="false"/>
          <w:color w:val="111111"/>
          <w:sz w:val="22"/>
          <w:szCs w:val="22"/>
        </w:rPr>
        <w:t xml:space="preserve">$25,000–$75,000 revenue</w:t>
      </w:r>
    </w:p>
    <w:p>
      <w:pPr>
        <w:spacing w:after="60" w:before="60"/>
      </w:pPr>
      <w:r>
        <w:t xml:space="preserve"/>
      </w:r>
    </w:p>
    <w:p>
      <w:pPr>
        <w:spacing w:after="80" w:before="200"/>
      </w:pPr>
      <w:r>
        <w:rPr>
          <w:rFonts w:ascii="Arial" w:cs="Arial" w:eastAsia="Arial" w:hAnsi="Arial"/>
          <w:b/>
          <w:bCs/>
          <w:color w:val="111111"/>
          <w:sz w:val="24"/>
          <w:szCs w:val="24"/>
        </w:rPr>
        <w:t xml:space="preserve">Year 2: Federal Entry</w:t>
      </w:r>
    </w:p>
    <w:p>
      <w:pPr>
        <w:pStyle w:val="ListParagraph"/>
        <w:numPr>
          <w:ilvl w:val="0"/>
          <w:numId w:val="2"/>
        </w:numPr>
        <w:spacing w:after="40" w:before="40"/>
      </w:pPr>
      <w:r>
        <w:rPr>
          <w:rFonts w:ascii="Arial" w:cs="Arial" w:eastAsia="Arial" w:hAnsi="Arial"/>
          <w:b w:val="false"/>
          <w:bCs w:val="false"/>
          <w:color w:val="111111"/>
          <w:sz w:val="22"/>
          <w:szCs w:val="22"/>
        </w:rPr>
        <w:t xml:space="preserve">First federal contract awarded through SDVOSB set-aside</w:t>
      </w:r>
    </w:p>
    <w:p>
      <w:pPr>
        <w:pStyle w:val="ListParagraph"/>
        <w:numPr>
          <w:ilvl w:val="0"/>
          <w:numId w:val="2"/>
        </w:numPr>
        <w:spacing w:after="40" w:before="40"/>
      </w:pPr>
      <w:r>
        <w:rPr>
          <w:rFonts w:ascii="Arial" w:cs="Arial" w:eastAsia="Arial" w:hAnsi="Arial"/>
          <w:b w:val="false"/>
          <w:bCs w:val="false"/>
          <w:color w:val="111111"/>
          <w:sz w:val="22"/>
          <w:szCs w:val="22"/>
        </w:rPr>
        <w:t xml:space="preserve">GSA Schedule application initiated</w:t>
      </w:r>
    </w:p>
    <w:p>
      <w:pPr>
        <w:pStyle w:val="ListParagraph"/>
        <w:numPr>
          <w:ilvl w:val="0"/>
          <w:numId w:val="2"/>
        </w:numPr>
        <w:spacing w:after="40" w:before="40"/>
      </w:pPr>
      <w:r>
        <w:rPr>
          <w:rFonts w:ascii="Arial" w:cs="Arial" w:eastAsia="Arial" w:hAnsi="Arial"/>
          <w:b w:val="false"/>
          <w:bCs w:val="false"/>
          <w:color w:val="111111"/>
          <w:sz w:val="22"/>
          <w:szCs w:val="22"/>
        </w:rPr>
        <w:t xml:space="preserve">Train-the-trainer protocol developed</w:t>
      </w:r>
    </w:p>
    <w:p>
      <w:pPr>
        <w:pStyle w:val="ListParagraph"/>
        <w:numPr>
          <w:ilvl w:val="0"/>
          <w:numId w:val="2"/>
        </w:numPr>
        <w:spacing w:after="40" w:before="40"/>
      </w:pPr>
      <w:r>
        <w:rPr>
          <w:rFonts w:ascii="Arial" w:cs="Arial" w:eastAsia="Arial" w:hAnsi="Arial"/>
          <w:b w:val="false"/>
          <w:bCs w:val="false"/>
          <w:color w:val="111111"/>
          <w:sz w:val="22"/>
          <w:szCs w:val="22"/>
        </w:rPr>
        <w:t xml:space="preserve">$75,000–$150,000 revenue</w:t>
      </w:r>
    </w:p>
    <w:p>
      <w:pPr>
        <w:spacing w:after="60" w:before="60"/>
      </w:pPr>
      <w:r>
        <w:t xml:space="preserve"/>
      </w:r>
    </w:p>
    <w:p>
      <w:pPr>
        <w:spacing w:after="80" w:before="200"/>
      </w:pPr>
      <w:r>
        <w:rPr>
          <w:rFonts w:ascii="Arial" w:cs="Arial" w:eastAsia="Arial" w:hAnsi="Arial"/>
          <w:b/>
          <w:bCs/>
          <w:color w:val="111111"/>
          <w:sz w:val="24"/>
          <w:szCs w:val="24"/>
        </w:rPr>
        <w:t xml:space="preserve">Year 3: Scale</w:t>
      </w:r>
    </w:p>
    <w:p>
      <w:pPr>
        <w:pStyle w:val="ListParagraph"/>
        <w:numPr>
          <w:ilvl w:val="0"/>
          <w:numId w:val="2"/>
        </w:numPr>
        <w:spacing w:after="40" w:before="40"/>
      </w:pPr>
      <w:r>
        <w:rPr>
          <w:rFonts w:ascii="Arial" w:cs="Arial" w:eastAsia="Arial" w:hAnsi="Arial"/>
          <w:b w:val="false"/>
          <w:bCs w:val="false"/>
          <w:color w:val="111111"/>
          <w:sz w:val="22"/>
          <w:szCs w:val="22"/>
        </w:rPr>
        <w:t xml:space="preserve">Multiple active federal contracts</w:t>
      </w:r>
    </w:p>
    <w:p>
      <w:pPr>
        <w:pStyle w:val="ListParagraph"/>
        <w:numPr>
          <w:ilvl w:val="0"/>
          <w:numId w:val="2"/>
        </w:numPr>
        <w:spacing w:after="40" w:before="40"/>
      </w:pPr>
      <w:r>
        <w:rPr>
          <w:rFonts w:ascii="Arial" w:cs="Arial" w:eastAsia="Arial" w:hAnsi="Arial"/>
          <w:b w:val="false"/>
          <w:bCs w:val="false"/>
          <w:color w:val="111111"/>
          <w:sz w:val="22"/>
          <w:szCs w:val="22"/>
        </w:rPr>
        <w:t xml:space="preserve">Licensing model for institutional adoption without direct delivery</w:t>
      </w:r>
    </w:p>
    <w:p>
      <w:pPr>
        <w:pStyle w:val="ListParagraph"/>
        <w:numPr>
          <w:ilvl w:val="0"/>
          <w:numId w:val="2"/>
        </w:numPr>
        <w:spacing w:after="40" w:before="40"/>
      </w:pPr>
      <w:r>
        <w:rPr>
          <w:rFonts w:ascii="Arial" w:cs="Arial" w:eastAsia="Arial" w:hAnsi="Arial"/>
          <w:b w:val="false"/>
          <w:bCs w:val="false"/>
          <w:color w:val="111111"/>
          <w:sz w:val="22"/>
          <w:szCs w:val="22"/>
        </w:rPr>
        <w:t xml:space="preserve">National reach through VA, DOL, and SAMHSA-funded programs</w:t>
      </w:r>
    </w:p>
    <w:p>
      <w:pPr>
        <w:pStyle w:val="ListParagraph"/>
        <w:numPr>
          <w:ilvl w:val="0"/>
          <w:numId w:val="2"/>
        </w:numPr>
        <w:spacing w:after="40" w:before="40"/>
      </w:pPr>
      <w:r>
        <w:rPr>
          <w:rFonts w:ascii="Arial" w:cs="Arial" w:eastAsia="Arial" w:hAnsi="Arial"/>
          <w:b w:val="false"/>
          <w:bCs w:val="false"/>
          <w:color w:val="111111"/>
          <w:sz w:val="22"/>
          <w:szCs w:val="22"/>
        </w:rPr>
        <w:t xml:space="preserve">$150,000–$300,000+ revenue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8A" w:sz="24"/>
              <w:bottom w:val="single" w:color="CCCCCC" w:sz="1"/>
              <w:right w:val="none" w:color="FFFFFF" w:sz="0"/>
            </w:tcBorders>
            <w:shd w:fill="EAF1F8" w:val="clear"/>
            <w:tcMar>
              <w:top w:type="dxa" w:w="120"/>
              <w:left w:type="dxa" w:w="200"/>
              <w:bottom w:type="dxa" w:w="120"/>
              <w:right w:type="dxa" w:w="120"/>
            </w:tcMar>
          </w:tcPr>
          <w:p>
            <w:r>
              <w:rPr>
                <w:rFonts w:ascii="Arial" w:cs="Arial" w:eastAsia="Arial" w:hAnsi="Arial"/>
                <w:i/>
                <w:iCs/>
                <w:color w:val="1B3A5C"/>
                <w:sz w:val="22"/>
                <w:szCs w:val="22"/>
              </w:rPr>
              <w:t xml:space="preserve">This is not a business that needs to be big to matter. One curriculum delivered well in one county jail can change the trajectory of a person's life. The federal strategy exists because scale is how you reach the people who need this and can't get it any other way.</w:t>
            </w:r>
          </w:p>
        </w:tc>
      </w:tr>
    </w:tbl>
    <w:p>
      <w:pPr>
        <w:spacing w:after="60" w:before="60"/>
      </w:pPr>
      <w:r>
        <w:t xml:space="preserve"/>
      </w:r>
    </w:p>
    <w:p>
      <w:pPr>
        <w:spacing w:after="60" w:before="60"/>
      </w:pPr>
      <w:r>
        <w:t xml:space="preserve"/>
      </w:r>
    </w:p>
    <w:p>
      <w:pPr>
        <w:pBdr>
          <w:top w:val="single" w:color="1B3A5C" w:sz="4" w:space="8"/>
        </w:pBdr>
        <w:spacing w:after="80" w:before="200"/>
        <w:jc w:val="center"/>
      </w:pPr>
      <w:r>
        <w:rPr>
          <w:rFonts w:ascii="Arial" w:cs="Arial" w:eastAsia="Arial" w:hAnsi="Arial"/>
          <w:color w:val="555555"/>
          <w:sz w:val="18"/>
          <w:szCs w:val="18"/>
        </w:rPr>
        <w:t xml:space="preserve">Capitol Contracts LLC  ·  Clarksville, Arkansas  ·  UEI: HH77KN5AV5X7  ·  CAGE: 9ZFJ6</w:t>
      </w:r>
    </w:p>
    <w:p>
      <w:pPr>
        <w:spacing w:after="0" w:before="40"/>
        <w:jc w:val="center"/>
      </w:pPr>
      <w:r>
        <w:rPr>
          <w:rFonts w:ascii="Arial" w:cs="Arial" w:eastAsia="Arial" w:hAnsi="Arial"/>
          <w:color w:val="555555"/>
          <w:sz w:val="18"/>
          <w:szCs w:val="18"/>
        </w:rPr>
        <w:t xml:space="preserve">mave9055.github.io/What-Really-Happened  ·  SDVOSB (Pending)  ·  HUBZone (Pending)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2026-04-04T23:23:43.286Z</dcterms:created>
  <dcterms:modified xsi:type="dcterms:W3CDTF">2026-04-04T23:23:43.287Z</dcterms:modified>
</cp:coreProperties>
</file>

<file path=docProps/custom.xml><?xml version="1.0" encoding="utf-8"?>
<Properties xmlns="http://schemas.openxmlformats.org/officeDocument/2006/custom-properties" xmlns:vt="http://schemas.openxmlformats.org/officeDocument/2006/docPropsVTypes"/>
</file>