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6A6A6A"/>
          <w:sz w:val="20"/>
          <w:szCs w:val="20"/>
        </w:rPr>
        <w:t xml:space="preserve">CAPITOL CONTRACTS LLC  |  What Really Happened: A Trauma Education Series</w:t>
      </w:r>
    </w:p>
    <w:p>
      <w:pPr>
        <w:pBdr>
          <w:bottom w:val="single" w:color="C4602A" w:sz="8" w:space="1"/>
        </w:pBdr>
        <w:spacing w:after="360" w:before="0"/>
      </w:pPr>
    </w:p>
    <w:p>
      <w:pPr>
        <w:spacing w:after="120" w:before="0"/>
      </w:pPr>
      <w:r>
        <w:rPr>
          <w:rFonts w:ascii="Georgia" w:cs="Georgia" w:eastAsia="Georgia" w:hAnsi="Georgia"/>
          <w:b/>
          <w:bCs/>
          <w:color w:val="1A1A1A"/>
          <w:sz w:val="52"/>
          <w:szCs w:val="52"/>
        </w:rPr>
        <w:t xml:space="preserve">I'm Not a Veteran.</w:t>
      </w:r>
    </w:p>
    <w:p>
      <w:pPr>
        <w:spacing w:after="80" w:before="0"/>
      </w:pPr>
      <w:r>
        <w:rPr>
          <w:rFonts w:ascii="Georgia" w:cs="Georgia" w:eastAsia="Georgia" w:hAnsi="Georgia"/>
          <w:b/>
          <w:bCs/>
          <w:color w:val="1A1A1A"/>
          <w:sz w:val="36"/>
          <w:szCs w:val="36"/>
        </w:rPr>
        <w:t xml:space="preserve">Here's Why That Might Be Exactly</w:t>
      </w:r>
    </w:p>
    <w:p>
      <w:pPr>
        <w:spacing w:after="280" w:before="0"/>
      </w:pPr>
      <w:r>
        <w:rPr>
          <w:rFonts w:ascii="Georgia" w:cs="Georgia" w:eastAsia="Georgia" w:hAnsi="Georgia"/>
          <w:i/>
          <w:iCs/>
          <w:color w:val="C4602A"/>
          <w:sz w:val="36"/>
          <w:szCs w:val="36"/>
        </w:rPr>
        <w:t xml:space="preserve">What the Veteran Suicide Problem Needs.</w:t>
      </w:r>
    </w:p>
    <w:p>
      <w:pPr>
        <w:spacing w:after="80" w:before="0"/>
      </w:pPr>
      <w:r>
        <w:rPr>
          <w:rFonts w:ascii="Georgia" w:cs="Georgia" w:eastAsia="Georgia" w:hAnsi="Georgia"/>
          <w:b/>
          <w:bCs/>
          <w:color w:val="1A1A1A"/>
          <w:sz w:val="24"/>
          <w:szCs w:val="24"/>
        </w:rPr>
        <w:t xml:space="preserve">Daniel Lingar</w:t>
      </w:r>
    </w:p>
    <w:p>
      <w:pPr>
        <w:spacing w:after="60" w:before="0"/>
      </w:pPr>
      <w:r>
        <w:rPr>
          <w:rFonts w:ascii="Georgia" w:cs="Georgia" w:eastAsia="Georgia" w:hAnsi="Georgia"/>
          <w:color w:val="6A6A6A"/>
          <w:sz w:val="22"/>
          <w:szCs w:val="22"/>
        </w:rPr>
        <w:t xml:space="preserve">Founder, Capitol Contracts LLC  |  Author, From the Storm to the Fire</w:t>
      </w:r>
    </w:p>
    <w:p>
      <w:pPr>
        <w:spacing w:after="280" w:before="0"/>
      </w:pPr>
      <w:r>
        <w:rPr>
          <w:rFonts w:ascii="Georgia" w:cs="Georgia" w:eastAsia="Georgia" w:hAnsi="Georgia"/>
          <w:color w:val="6A6A6A"/>
          <w:sz w:val="20"/>
          <w:szCs w:val="20"/>
        </w:rPr>
        <w:t xml:space="preserve">Clarksville, Arkansas  |  April 2026</w:t>
      </w:r>
    </w:p>
    <w:p>
      <w:pPr>
        <w:pBdr>
          <w:bottom w:val="single" w:color="C4602A" w:sz="4" w:space="1"/>
        </w:pBdr>
        <w:spacing w:after="160" w:before="160"/>
      </w:pPr>
    </w:p>
    <w:p>
      <w:pPr>
        <w:spacing w:after="80" w:before="80"/>
      </w:pPr>
      <w:r>
        <w:rPr>
          <w:rFonts w:ascii="Georgia" w:cs="Georgia" w:eastAsia="Georgia" w:hAnsi="Georgia"/>
          <w:b w:val="false"/>
          <w:bCs w:val="false"/>
          <w:i w:val="false"/>
          <w:iCs w:val="false"/>
          <w:color w:val="3A3A3A"/>
          <w:sz w:val="22"/>
          <w:szCs w:val="22"/>
        </w:rPr>
        <w:t xml:space="preserve">I have never deployed. I have never carried a weapon in combat. I have never lost a brother in arms.</w:t>
      </w:r>
    </w:p>
    <w:p>
      <w:pPr>
        <w:spacing w:after="80" w:before="80"/>
      </w:pPr>
      <w:r>
        <w:rPr>
          <w:rFonts w:ascii="Georgia" w:cs="Georgia" w:eastAsia="Georgia" w:hAnsi="Georgia"/>
          <w:b w:val="false"/>
          <w:bCs w:val="false"/>
          <w:i w:val="false"/>
          <w:iCs w:val="false"/>
          <w:color w:val="3A3A3A"/>
          <w:sz w:val="22"/>
          <w:szCs w:val="22"/>
        </w:rPr>
        <w:t xml:space="preserve">I have lost a brother. His name was Garrett. He was 32. Single-car crash, June 24, 2011, on a Friday night. I found out the next morning in Kansas City, about to help a friend move. I collapsed on a stranger's lawn and screamed at the sky.</w:t>
      </w:r>
    </w:p>
    <w:p>
      <w:pPr>
        <w:spacing w:after="80" w:before="80"/>
      </w:pPr>
      <w:r>
        <w:rPr>
          <w:rFonts w:ascii="Georgia" w:cs="Georgia" w:eastAsia="Georgia" w:hAnsi="Georgia"/>
          <w:b w:val="false"/>
          <w:bCs w:val="false"/>
          <w:i w:val="false"/>
          <w:iCs w:val="false"/>
          <w:color w:val="3A3A3A"/>
          <w:sz w:val="22"/>
          <w:szCs w:val="22"/>
        </w:rPr>
        <w:t xml:space="preserve">Two days later, lying in bed, I finally broke open. Finally sobbed. Finally let the grief have me. And the person next to me said: "Shut up. I have work tomorrow."</w:t>
      </w:r>
    </w:p>
    <w:p>
      <w:pPr>
        <w:spacing w:after="80" w:before="80"/>
      </w:pPr>
      <w:r>
        <w:rPr>
          <w:rFonts w:ascii="Georgia" w:cs="Georgia" w:eastAsia="Georgia" w:hAnsi="Georgia"/>
          <w:b w:val="false"/>
          <w:bCs w:val="false"/>
          <w:i w:val="false"/>
          <w:iCs w:val="false"/>
          <w:color w:val="3A3A3A"/>
          <w:sz w:val="22"/>
          <w:szCs w:val="22"/>
        </w:rPr>
        <w:t xml:space="preserve">I did not leave. Not that night. Not for ten more years. Because leaving meant not seeing my kids every day, and that loss hit harder than the relief of being gone. So my nervous system ran the math. Stay and be in pain here. Leave and be in pain there. It chose the pain it already knew.</w:t>
      </w:r>
    </w:p>
    <w:p>
      <w:pPr>
        <w:spacing w:after="80" w:before="80"/>
      </w:pPr>
      <w:r>
        <w:rPr>
          <w:rFonts w:ascii="Georgia" w:cs="Georgia" w:eastAsia="Georgia" w:hAnsi="Georgia"/>
          <w:b w:val="false"/>
          <w:bCs w:val="false"/>
          <w:i w:val="false"/>
          <w:iCs w:val="false"/>
          <w:color w:val="3A3A3A"/>
          <w:sz w:val="22"/>
          <w:szCs w:val="22"/>
        </w:rPr>
        <w:t xml:space="preserve">I tell you this not because it is the same as combat. It is not. I tell you this because the mechanism is the same. The nervous system doing cost-benefit analysis with broken instruments. The high-functioning exterior maintained by pure will while the inside stacks its dead in the basement. The substance use that is not weakness but regulation. The isolation that is not preference but survival.</w:t>
      </w:r>
    </w:p>
    <w:p>
      <w:pPr>
        <w:spacing w:after="80" w:before="80"/>
      </w:pPr>
      <w:r>
        <w:rPr>
          <w:rFonts w:ascii="Georgia" w:cs="Georgia" w:eastAsia="Georgia" w:hAnsi="Georgia"/>
          <w:b w:val="false"/>
          <w:bCs w:val="false"/>
          <w:i w:val="false"/>
          <w:iCs w:val="false"/>
          <w:color w:val="3A3A3A"/>
          <w:sz w:val="22"/>
          <w:szCs w:val="22"/>
        </w:rPr>
        <w:t xml:space="preserve">I know what it is to have a noose in the closet. I know what stopped me from using it — not a hotline, not a reason to live, not a moment of clarity. Fear of the pain before dying. That is it. That is the crack of light that kept me here.</w:t>
      </w:r>
    </w:p>
    <w:p>
      <w:pPr>
        <w:spacing w:after="80" w:before="80"/>
      </w:pPr>
      <w:r>
        <w:rPr>
          <w:rFonts w:ascii="Georgia" w:cs="Georgia" w:eastAsia="Georgia" w:hAnsi="Georgia"/>
          <w:b/>
          <w:bCs/>
          <w:i w:val="false"/>
          <w:iCs w:val="false"/>
          <w:color w:val="3A3A3A"/>
          <w:sz w:val="22"/>
          <w:szCs w:val="22"/>
        </w:rPr>
        <w:t xml:space="preserve">I am telling you this because I built something from it. And because what I built might be the thing that closes the gap that $19 billion has not closed.</w:t>
      </w:r>
    </w:p>
    <w:p>
      <w:r>
        <w:br w:type="page"/>
      </w:r>
    </w:p>
    <w:p>
      <w:pPr>
        <w:spacing w:after="100" w:before="400"/>
      </w:pPr>
      <w:r>
        <w:rPr>
          <w:rFonts w:ascii="Georgia" w:cs="Georgia" w:eastAsia="Georgia" w:hAnsi="Georgia"/>
          <w:b/>
          <w:bCs/>
          <w:color w:val="1A1A1A"/>
          <w:sz w:val="32"/>
          <w:szCs w:val="32"/>
        </w:rPr>
        <w:t xml:space="preserve">The Gap Nobody Is Talking About</w:t>
      </w:r>
    </w:p>
    <w:p>
      <w:pPr>
        <w:pBdr>
          <w:bottom w:val="single" w:color="D0C8C0" w:sz="4" w:space="1"/>
        </w:pBdr>
        <w:spacing w:after="160" w:before="160"/>
      </w:pPr>
    </w:p>
    <w:p>
      <w:pPr>
        <w:spacing w:after="80" w:before="80"/>
      </w:pPr>
      <w:r>
        <w:rPr>
          <w:rFonts w:ascii="Georgia" w:cs="Georgia" w:eastAsia="Georgia" w:hAnsi="Georgia"/>
          <w:b w:val="false"/>
          <w:bCs w:val="false"/>
          <w:i w:val="false"/>
          <w:iCs w:val="false"/>
          <w:color w:val="3A3A3A"/>
          <w:sz w:val="22"/>
          <w:szCs w:val="22"/>
        </w:rPr>
        <w:t xml:space="preserve">17.6 veterans die by suicide every day. That number has not meaningfully moved in twenty years despite the largest mental health budget in VA history.</w:t>
      </w:r>
    </w:p>
    <w:p>
      <w:pPr>
        <w:spacing w:after="80" w:before="80"/>
      </w:pPr>
      <w:r>
        <w:rPr>
          <w:rFonts w:ascii="Georgia" w:cs="Georgia" w:eastAsia="Georgia" w:hAnsi="Georgia"/>
          <w:b w:val="false"/>
          <w:bCs w:val="false"/>
          <w:i w:val="false"/>
          <w:iCs w:val="false"/>
          <w:color w:val="3A3A3A"/>
          <w:sz w:val="22"/>
          <w:szCs w:val="22"/>
        </w:rPr>
        <w:t xml:space="preserve">The standard explanation is access. Not enough clinicians. Too many wait times. Too much stigma. Those things are real. They are not the whole problem.</w:t>
      </w:r>
    </w:p>
    <w:p>
      <w:pPr>
        <w:spacing w:after="80" w:before="80"/>
      </w:pPr>
      <w:r>
        <w:rPr>
          <w:rFonts w:ascii="Georgia" w:cs="Georgia" w:eastAsia="Georgia" w:hAnsi="Georgia"/>
          <w:b w:val="false"/>
          <w:bCs w:val="false"/>
          <w:i w:val="false"/>
          <w:iCs w:val="false"/>
          <w:color w:val="3A3A3A"/>
          <w:sz w:val="22"/>
          <w:szCs w:val="22"/>
        </w:rPr>
        <w:t xml:space="preserve">The deeper problem is this: 10.6 of those 17.6 veterans per day are dying outside of VHA contact. They are not on a waitlist. They are not in the system at all. They are in their houses, their trucks, their garages — in the places the clinical model does not reach.</w:t>
      </w:r>
    </w:p>
    <w:p>
      <w:pPr>
        <w:spacing w:after="80" w:before="80"/>
      </w:pPr>
      <w:r>
        <w:rPr>
          <w:rFonts w:ascii="Georgia" w:cs="Georgia" w:eastAsia="Georgia" w:hAnsi="Georgia"/>
          <w:b w:val="false"/>
          <w:bCs w:val="false"/>
          <w:i w:val="false"/>
          <w:iCs w:val="false"/>
          <w:color w:val="3A3A3A"/>
          <w:sz w:val="22"/>
          <w:szCs w:val="22"/>
        </w:rPr>
        <w:t xml:space="preserve">No amount of additional clinicians solves a problem that requires a different delivery model entirely.</w:t>
      </w:r>
    </w:p>
    <w:p>
      <w:pPr>
        <w:pBdr>
          <w:left w:val="single" w:color="C4602A" w:sz="6" w:space="8"/>
        </w:pBdr>
        <w:spacing w:after="160" w:before="160"/>
        <w:ind w:left="720" w:right="720"/>
      </w:pPr>
      <w:r>
        <w:rPr>
          <w:rFonts w:ascii="Georgia" w:cs="Georgia" w:eastAsia="Georgia" w:hAnsi="Georgia"/>
          <w:i/>
          <w:iCs/>
          <w:color w:val="3A3A3A"/>
          <w:sz w:val="22"/>
          <w:szCs w:val="22"/>
        </w:rPr>
        <w:t xml:space="preserve">The veterans most likely to die by suicide are the least likely to walk into a VA clinic and say they are struggling. Military culture spent years training them to see that as weakness. That training does not turn off at discharge.</w:t>
      </w:r>
    </w:p>
    <w:p>
      <w:pPr>
        <w:spacing w:after="80" w:before="80"/>
      </w:pPr>
      <w:r>
        <w:rPr>
          <w:rFonts w:ascii="Georgia" w:cs="Georgia" w:eastAsia="Georgia" w:hAnsi="Georgia"/>
          <w:b w:val="false"/>
          <w:bCs w:val="false"/>
          <w:i w:val="false"/>
          <w:iCs w:val="false"/>
          <w:color w:val="3A3A3A"/>
          <w:sz w:val="22"/>
          <w:szCs w:val="22"/>
        </w:rPr>
        <w:t xml:space="preserve">Here is what I think is actually happening — and what the data points toward without fully naming:</w:t>
      </w:r>
    </w:p>
    <w:p>
      <w:pPr>
        <w:spacing w:after="80" w:before="80"/>
      </w:pPr>
      <w:r>
        <w:rPr>
          <w:rFonts w:ascii="Georgia" w:cs="Georgia" w:eastAsia="Georgia" w:hAnsi="Georgia"/>
          <w:b w:val="false"/>
          <w:bCs w:val="false"/>
          <w:i w:val="false"/>
          <w:iCs w:val="false"/>
          <w:color w:val="3A3A3A"/>
          <w:sz w:val="22"/>
          <w:szCs w:val="22"/>
        </w:rPr>
        <w:t xml:space="preserve">The military does not just train skills. It rewires the nervous system for a specific threat environment. Hypervigilance. Suppressed emotional response. Identity fused to the unit. Binary threat assessment — everything is safe or dangerous, with nothing in between. Obedience to structure because the chain of command is the external regulation apparatus the nervous system operates within.</w:t>
      </w:r>
    </w:p>
    <w:p>
      <w:pPr>
        <w:spacing w:after="80" w:before="80"/>
      </w:pPr>
      <w:r>
        <w:rPr>
          <w:rFonts w:ascii="Georgia" w:cs="Georgia" w:eastAsia="Georgia" w:hAnsi="Georgia"/>
          <w:b w:val="false"/>
          <w:bCs w:val="false"/>
          <w:i w:val="false"/>
          <w:iCs w:val="false"/>
          <w:color w:val="3A3A3A"/>
          <w:sz w:val="22"/>
          <w:szCs w:val="22"/>
        </w:rPr>
        <w:t xml:space="preserve">Then the military discharges the person.</w:t>
      </w:r>
    </w:p>
    <w:p>
      <w:pPr>
        <w:spacing w:after="80" w:before="80"/>
      </w:pPr>
      <w:r>
        <w:rPr>
          <w:rFonts w:ascii="Georgia" w:cs="Georgia" w:eastAsia="Georgia" w:hAnsi="Georgia"/>
          <w:b w:val="false"/>
          <w:bCs w:val="false"/>
          <w:i w:val="false"/>
          <w:iCs w:val="false"/>
          <w:color w:val="3A3A3A"/>
          <w:sz w:val="22"/>
          <w:szCs w:val="22"/>
        </w:rPr>
        <w:t xml:space="preserve">The structure disappears. The unit disappears. The mission disappears. The identity disappears. And the rewired nervous system remains — running a hypervigilant, binary-sorting, emotionally suppressed, structure-dependent operating system in an environment that provides none of the conditions it was built for.</w:t>
      </w:r>
    </w:p>
    <w:p>
      <w:pPr>
        <w:spacing w:after="80" w:before="80"/>
      </w:pPr>
      <w:r>
        <w:rPr>
          <w:rFonts w:ascii="Georgia" w:cs="Georgia" w:eastAsia="Georgia" w:hAnsi="Georgia"/>
          <w:b w:val="false"/>
          <w:bCs w:val="false"/>
          <w:i w:val="false"/>
          <w:iCs w:val="false"/>
          <w:color w:val="3A3A3A"/>
          <w:sz w:val="22"/>
          <w:szCs w:val="22"/>
        </w:rPr>
        <w:t xml:space="preserve">The VA's data confirms what that produces: the highest veteran suicide rate is in the first year after separation. Not during combat. After. When the structure is gone and the nervous system has nothing left to regulate against.</w:t>
      </w:r>
    </w:p>
    <w:p>
      <w:pPr>
        <w:spacing w:after="80" w:before="80"/>
      </w:pPr>
      <w:r>
        <w:rPr>
          <w:rFonts w:ascii="Georgia" w:cs="Georgia" w:eastAsia="Georgia" w:hAnsi="Georgia"/>
          <w:b/>
          <w:bCs/>
          <w:i w:val="false"/>
          <w:iCs w:val="false"/>
          <w:color w:val="3A3A3A"/>
          <w:sz w:val="22"/>
          <w:szCs w:val="22"/>
        </w:rPr>
        <w:t xml:space="preserve">That is not a mental health crisis. That is a nervous system event. And it requires a different response than a clinical intake form.</w:t>
      </w:r>
    </w:p>
    <w:p>
      <w:pPr>
        <w:spacing w:after="0" w:before="100"/>
      </w:pPr>
      <w:r>
        <w:t xml:space="preserve"/>
      </w:r>
    </w:p>
    <w:p>
      <w:pPr>
        <w:spacing w:after="100" w:before="400"/>
      </w:pPr>
      <w:r>
        <w:rPr>
          <w:rFonts w:ascii="Georgia" w:cs="Georgia" w:eastAsia="Georgia" w:hAnsi="Georgia"/>
          <w:b/>
          <w:bCs/>
          <w:color w:val="1A1A1A"/>
          <w:sz w:val="32"/>
          <w:szCs w:val="32"/>
        </w:rPr>
        <w:t xml:space="preserve">The Thing Nobody Is Saying About Moral Injury</w:t>
      </w:r>
    </w:p>
    <w:p>
      <w:pPr>
        <w:pBdr>
          <w:bottom w:val="single" w:color="D0C8C0" w:sz="4" w:space="1"/>
        </w:pBdr>
        <w:spacing w:after="160" w:before="160"/>
      </w:pPr>
    </w:p>
    <w:p>
      <w:pPr>
        <w:spacing w:after="80" w:before="80"/>
      </w:pPr>
      <w:r>
        <w:rPr>
          <w:rFonts w:ascii="Georgia" w:cs="Georgia" w:eastAsia="Georgia" w:hAnsi="Georgia"/>
          <w:b w:val="false"/>
          <w:bCs w:val="false"/>
          <w:i w:val="false"/>
          <w:iCs w:val="false"/>
          <w:color w:val="3A3A3A"/>
          <w:sz w:val="22"/>
          <w:szCs w:val="22"/>
        </w:rPr>
        <w:t xml:space="preserve">The VA's own 2024 Annual Report flagged moral injury as an emerging area of concern — noting that veterans with moral injury have higher suicide rates, possibly related to shame, guilt, and perceived self-worth. Then it moved on.</w:t>
      </w:r>
    </w:p>
    <w:p>
      <w:pPr>
        <w:spacing w:after="80" w:before="80"/>
      </w:pPr>
      <w:r>
        <w:rPr>
          <w:rFonts w:ascii="Georgia" w:cs="Georgia" w:eastAsia="Georgia" w:hAnsi="Georgia"/>
          <w:b w:val="false"/>
          <w:bCs w:val="false"/>
          <w:i w:val="false"/>
          <w:iCs w:val="false"/>
          <w:color w:val="3A3A3A"/>
          <w:sz w:val="22"/>
          <w:szCs w:val="22"/>
        </w:rPr>
        <w:t xml:space="preserve">Moral injury is not PTSD. PTSD is fear-based — the nervous system responding to threat. Moral injury is shame-based — a person who has done, witnessed, or failed to prevent something that violated their own moral code. It produces a specific internal experience: I am the problem. My existence causes harm. The people I love would be better off without me.</w:t>
      </w:r>
    </w:p>
    <w:p>
      <w:pPr>
        <w:spacing w:after="80" w:before="80"/>
      </w:pPr>
      <w:r>
        <w:rPr>
          <w:rFonts w:ascii="Georgia" w:cs="Georgia" w:eastAsia="Georgia" w:hAnsi="Georgia"/>
          <w:b w:val="false"/>
          <w:bCs w:val="false"/>
          <w:i w:val="false"/>
          <w:iCs w:val="false"/>
          <w:color w:val="3A3A3A"/>
          <w:sz w:val="22"/>
          <w:szCs w:val="22"/>
        </w:rPr>
        <w:t xml:space="preserve">That is not hypervigilance. That is not a fear response. That is a story the nervous system tells about itself — and clinical models built to address fear responses do not have good tools for it.</w:t>
      </w:r>
    </w:p>
    <w:p>
      <w:pPr>
        <w:spacing w:after="80" w:before="80"/>
      </w:pPr>
      <w:r>
        <w:rPr>
          <w:rFonts w:ascii="Georgia" w:cs="Georgia" w:eastAsia="Georgia" w:hAnsi="Georgia"/>
          <w:b w:val="false"/>
          <w:bCs w:val="false"/>
          <w:i w:val="false"/>
          <w:iCs w:val="false"/>
          <w:color w:val="3A3A3A"/>
          <w:sz w:val="22"/>
          <w:szCs w:val="22"/>
        </w:rPr>
        <w:t xml:space="preserve">I know what that story sounds like from the inside. Not from combat. From being a father who missed years of his children's daily lives. From relapsing during COVID while laying off people who had kids to feed. From sitting in a room where the person next to me told my grief to shut up, and filing that away as confirmation of every story I had ever believed about being too much, too broken, not worth the space I took up.</w:t>
      </w:r>
    </w:p>
    <w:p>
      <w:pPr>
        <w:spacing w:after="80" w:before="80"/>
      </w:pPr>
      <w:r>
        <w:rPr>
          <w:rFonts w:ascii="Georgia" w:cs="Georgia" w:eastAsia="Georgia" w:hAnsi="Georgia"/>
          <w:b w:val="false"/>
          <w:bCs w:val="false"/>
          <w:i w:val="false"/>
          <w:iCs w:val="false"/>
          <w:color w:val="3A3A3A"/>
          <w:sz w:val="22"/>
          <w:szCs w:val="22"/>
        </w:rPr>
        <w:t xml:space="preserve">Shame that specific, that old, that deeply wired — it does not respond to a pamphlet. It responds to a room where someone names it out loud and tells you it is not a character flaw. It is a nervous system that was trained to believe your pain is a liability. And that training can be updated.</w:t>
      </w:r>
    </w:p>
    <w:p>
      <w:pPr>
        <w:spacing w:after="80" w:before="80"/>
      </w:pPr>
      <w:r>
        <w:rPr>
          <w:rFonts w:ascii="Georgia" w:cs="Georgia" w:eastAsia="Georgia" w:hAnsi="Georgia"/>
          <w:b/>
          <w:bCs/>
          <w:i w:val="false"/>
          <w:iCs w:val="false"/>
          <w:color w:val="3A3A3A"/>
          <w:sz w:val="22"/>
          <w:szCs w:val="22"/>
        </w:rPr>
        <w:t xml:space="preserve">That is what Session 09 of this curriculum does. It is called Shame vs. Responsibility. It makes the distinction between what happened to you and what you are. It addresses moral injury without calling it that — in language that does not require a veteran to identify themselves as a patient.</w:t>
      </w:r>
    </w:p>
    <w:p>
      <w:pPr>
        <w:spacing w:after="0" w:before="100"/>
      </w:pPr>
      <w:r>
        <w:t xml:space="preserve"/>
      </w:r>
    </w:p>
    <w:p>
      <w:pPr>
        <w:spacing w:after="100" w:before="400"/>
      </w:pPr>
      <w:r>
        <w:rPr>
          <w:rFonts w:ascii="Georgia" w:cs="Georgia" w:eastAsia="Georgia" w:hAnsi="Georgia"/>
          <w:b/>
          <w:bCs/>
          <w:color w:val="1A1A1A"/>
          <w:sz w:val="32"/>
          <w:szCs w:val="32"/>
        </w:rPr>
        <w:t xml:space="preserve">What I Built and Why It Works</w:t>
      </w:r>
    </w:p>
    <w:p>
      <w:pPr>
        <w:pBdr>
          <w:bottom w:val="single" w:color="D0C8C0" w:sz="4" w:space="1"/>
        </w:pBdr>
        <w:spacing w:after="160" w:before="160"/>
      </w:pPr>
    </w:p>
    <w:p>
      <w:pPr>
        <w:spacing w:after="80" w:before="80"/>
      </w:pPr>
      <w:r>
        <w:rPr>
          <w:rFonts w:ascii="Georgia" w:cs="Georgia" w:eastAsia="Georgia" w:hAnsi="Georgia"/>
          <w:b w:val="false"/>
          <w:bCs w:val="false"/>
          <w:i w:val="false"/>
          <w:iCs w:val="false"/>
          <w:color w:val="3A3A3A"/>
          <w:sz w:val="22"/>
          <w:szCs w:val="22"/>
        </w:rPr>
        <w:t xml:space="preserve">What Really Happened: A Trauma Education Series is 18 sessions. Every session is fully scripted. No clinical license required to facilitate. A peer support specialist, a chaplain, a reentry coordinator, a veteran who has been through the transition — any of them can run it.</w:t>
      </w:r>
    </w:p>
    <w:p>
      <w:pPr>
        <w:spacing w:after="80" w:before="80"/>
      </w:pPr>
      <w:r>
        <w:rPr>
          <w:rFonts w:ascii="Georgia" w:cs="Georgia" w:eastAsia="Georgia" w:hAnsi="Georgia"/>
          <w:b w:val="false"/>
          <w:bCs w:val="false"/>
          <w:i w:val="false"/>
          <w:iCs w:val="false"/>
          <w:color w:val="3A3A3A"/>
          <w:sz w:val="22"/>
          <w:szCs w:val="22"/>
        </w:rPr>
        <w:t xml:space="preserve">It is built from my life. Not abstracted theory. Not compiled best practices. One documented case study of a nervous system built for survival from birth — premature infant, violence at six, a mother who did the best she could in an impossible situation, addiction, loss, relationship collapse, a noose in a closet, and twenty years of figuring out why I am the way I am and what to do about it.</w:t>
      </w:r>
    </w:p>
    <w:p>
      <w:pPr>
        <w:spacing w:after="80" w:before="80"/>
      </w:pPr>
      <w:r>
        <w:rPr>
          <w:rFonts w:ascii="Georgia" w:cs="Georgia" w:eastAsia="Georgia" w:hAnsi="Georgia"/>
          <w:b w:val="false"/>
          <w:bCs w:val="false"/>
          <w:i w:val="false"/>
          <w:iCs w:val="false"/>
          <w:color w:val="3A3A3A"/>
          <w:sz w:val="22"/>
          <w:szCs w:val="22"/>
        </w:rPr>
        <w:t xml:space="preserve">The clinical research is woven through every session — Van der Kolk, Porges, Herman, Ellis, Beck — but it is never the entry point. The entry point is always the story. The mechanism is explained through what actually happened, not through what the textbook says should have happened.</w:t>
      </w:r>
    </w:p>
    <w:p>
      <w:pPr>
        <w:pBdr>
          <w:left w:val="single" w:color="C4602A" w:sz="6" w:space="8"/>
        </w:pBdr>
        <w:spacing w:after="160" w:before="160"/>
        <w:ind w:left="720" w:right="720"/>
      </w:pPr>
      <w:r>
        <w:rPr>
          <w:rFonts w:ascii="Georgia" w:cs="Georgia" w:eastAsia="Georgia" w:hAnsi="Georgia"/>
          <w:i/>
          <w:iCs/>
          <w:color w:val="3A3A3A"/>
          <w:sz w:val="22"/>
          <w:szCs w:val="22"/>
        </w:rPr>
        <w:t xml:space="preserve">A person can memorize the definition of hypervigilance and miss it in a room. But they cannot encounter a body that circled an entire building to avoid the front entrance without understanding something about what a nervous system does when proximity has been encoded as threat since before language.</w:t>
      </w:r>
    </w:p>
    <w:p>
      <w:pPr>
        <w:spacing w:after="80" w:before="80"/>
      </w:pPr>
      <w:r>
        <w:rPr>
          <w:rFonts w:ascii="Georgia" w:cs="Georgia" w:eastAsia="Georgia" w:hAnsi="Georgia"/>
          <w:b w:val="false"/>
          <w:bCs w:val="false"/>
          <w:i w:val="false"/>
          <w:iCs w:val="false"/>
          <w:color w:val="3A3A3A"/>
          <w:sz w:val="22"/>
          <w:szCs w:val="22"/>
        </w:rPr>
        <w:t xml:space="preserve">That is the case study methodology. Specificity reaches people that abstraction leaves behind.</w:t>
      </w:r>
    </w:p>
    <w:p>
      <w:pPr>
        <w:spacing w:after="80" w:before="80"/>
      </w:pPr>
      <w:r>
        <w:rPr>
          <w:rFonts w:ascii="Georgia" w:cs="Georgia" w:eastAsia="Georgia" w:hAnsi="Georgia"/>
          <w:b w:val="false"/>
          <w:bCs w:val="false"/>
          <w:i w:val="false"/>
          <w:iCs w:val="false"/>
          <w:color w:val="3A3A3A"/>
          <w:sz w:val="22"/>
          <w:szCs w:val="22"/>
        </w:rPr>
        <w:t xml:space="preserve">Session 12 — Crisis, Suicide Risk, and Staying Alive — is the session I wish had existed when I was in the closet. It is a fully scripted 70-minute safety protocol. It names the pressure cooker state. It tells the truth about what actually stops most people at the edge — not a hotline, not a reason to live, but one small crack of doubt about the permanence of the pain. It explains why connection with another person turns the volume down even when nothing else does — and why that connection is a nervous system event, not a character weakness.</w:t>
      </w:r>
    </w:p>
    <w:p>
      <w:pPr>
        <w:spacing w:after="80" w:before="80"/>
      </w:pPr>
      <w:r>
        <w:rPr>
          <w:rFonts w:ascii="Georgia" w:cs="Georgia" w:eastAsia="Georgia" w:hAnsi="Georgia"/>
          <w:b/>
          <w:bCs/>
          <w:i w:val="false"/>
          <w:iCs w:val="false"/>
          <w:color w:val="3A3A3A"/>
          <w:sz w:val="22"/>
          <w:szCs w:val="22"/>
        </w:rPr>
        <w:t xml:space="preserve">It is not a pamphlet. It is a room.</w:t>
      </w:r>
    </w:p>
    <w:p>
      <w:pPr>
        <w:spacing w:after="0" w:before="100"/>
      </w:pPr>
      <w:r>
        <w:t xml:space="preserve"/>
      </w:r>
    </w:p>
    <w:p>
      <w:pPr>
        <w:spacing w:after="100" w:before="400"/>
      </w:pPr>
      <w:r>
        <w:rPr>
          <w:rFonts w:ascii="Georgia" w:cs="Georgia" w:eastAsia="Georgia" w:hAnsi="Georgia"/>
          <w:b/>
          <w:bCs/>
          <w:color w:val="1A1A1A"/>
          <w:sz w:val="32"/>
          <w:szCs w:val="32"/>
        </w:rPr>
        <w:t xml:space="preserve">The Argument for Why Non-Veteran Matters</w:t>
      </w:r>
    </w:p>
    <w:p>
      <w:pPr>
        <w:pBdr>
          <w:bottom w:val="single" w:color="D0C8C0" w:sz="4" w:space="1"/>
        </w:pBdr>
        <w:spacing w:after="160" w:before="160"/>
      </w:pPr>
    </w:p>
    <w:p>
      <w:pPr>
        <w:spacing w:after="80" w:before="80"/>
      </w:pPr>
      <w:r>
        <w:rPr>
          <w:rFonts w:ascii="Georgia" w:cs="Georgia" w:eastAsia="Georgia" w:hAnsi="Georgia"/>
          <w:b w:val="false"/>
          <w:bCs w:val="false"/>
          <w:i w:val="false"/>
          <w:iCs w:val="false"/>
          <w:color w:val="3A3A3A"/>
          <w:sz w:val="22"/>
          <w:szCs w:val="22"/>
        </w:rPr>
        <w:t xml:space="preserve">The most common objection to my work is the one I used to make myself: I am not a veteran. I do not have the standing to address veteran suicide.</w:t>
      </w:r>
    </w:p>
    <w:p>
      <w:pPr>
        <w:spacing w:after="80" w:before="80"/>
      </w:pPr>
      <w:r>
        <w:rPr>
          <w:rFonts w:ascii="Georgia" w:cs="Georgia" w:eastAsia="Georgia" w:hAnsi="Georgia"/>
          <w:b w:val="false"/>
          <w:bCs w:val="false"/>
          <w:i w:val="false"/>
          <w:iCs w:val="false"/>
          <w:color w:val="3A3A3A"/>
          <w:sz w:val="22"/>
          <w:szCs w:val="22"/>
        </w:rPr>
        <w:t xml:space="preserve">Here is what I have come to understand about that objection:</w:t>
      </w:r>
    </w:p>
    <w:p>
      <w:pPr>
        <w:spacing w:after="80" w:before="80"/>
      </w:pPr>
      <w:r>
        <w:rPr>
          <w:rFonts w:ascii="Georgia" w:cs="Georgia" w:eastAsia="Georgia" w:hAnsi="Georgia"/>
          <w:b w:val="false"/>
          <w:bCs w:val="false"/>
          <w:i w:val="false"/>
          <w:iCs w:val="false"/>
          <w:color w:val="3A3A3A"/>
          <w:sz w:val="22"/>
          <w:szCs w:val="22"/>
        </w:rPr>
        <w:t xml:space="preserve">Most veteran suicide prevention programs are built by clinicians who understand the diagnosis, or by veterans who understand the experience but not the underlying mechanism. Neither alone produces a tool that is both credible and transferable.</w:t>
      </w:r>
    </w:p>
    <w:p>
      <w:pPr>
        <w:spacing w:after="80" w:before="80"/>
      </w:pPr>
      <w:r>
        <w:rPr>
          <w:rFonts w:ascii="Georgia" w:cs="Georgia" w:eastAsia="Georgia" w:hAnsi="Georgia"/>
          <w:b w:val="false"/>
          <w:bCs w:val="false"/>
          <w:i w:val="false"/>
          <w:iCs w:val="false"/>
          <w:color w:val="3A3A3A"/>
          <w:sz w:val="22"/>
          <w:szCs w:val="22"/>
        </w:rPr>
        <w:t xml:space="preserve">I am neither. I am a civilian with Complex PTSD who has spent years understanding the nervous system mechanism from the inside — and who built an 18-session curriculum that teaches that mechanism in language that does not require a clinical degree to deliver or receive.</w:t>
      </w:r>
    </w:p>
    <w:p>
      <w:pPr>
        <w:spacing w:after="80" w:before="80"/>
      </w:pPr>
      <w:r>
        <w:rPr>
          <w:rFonts w:ascii="Georgia" w:cs="Georgia" w:eastAsia="Georgia" w:hAnsi="Georgia"/>
          <w:b w:val="false"/>
          <w:bCs w:val="false"/>
          <w:i w:val="false"/>
          <w:iCs w:val="false"/>
          <w:color w:val="3A3A3A"/>
          <w:sz w:val="22"/>
          <w:szCs w:val="22"/>
        </w:rPr>
        <w:t xml:space="preserve">The argument is not: I understand veterans because I have CPTSD.</w:t>
      </w:r>
    </w:p>
    <w:p>
      <w:pPr>
        <w:spacing w:after="80" w:before="80"/>
      </w:pPr>
      <w:r>
        <w:rPr>
          <w:rFonts w:ascii="Georgia" w:cs="Georgia" w:eastAsia="Georgia" w:hAnsi="Georgia"/>
          <w:b/>
          <w:bCs/>
          <w:i w:val="false"/>
          <w:iCs w:val="false"/>
          <w:color w:val="3A3A3A"/>
          <w:sz w:val="22"/>
          <w:szCs w:val="22"/>
        </w:rPr>
        <w:t xml:space="preserve">The argument is: the mechanism that kills veterans is the same mechanism that nearly killed me. I built a tool that addresses the mechanism — not the uniform. That tool works wherever the mechanism presents.</w:t>
      </w:r>
    </w:p>
    <w:p>
      <w:pPr>
        <w:spacing w:after="80" w:before="80"/>
      </w:pPr>
      <w:r>
        <w:rPr>
          <w:rFonts w:ascii="Georgia" w:cs="Georgia" w:eastAsia="Georgia" w:hAnsi="Georgia"/>
          <w:b w:val="false"/>
          <w:bCs w:val="false"/>
          <w:i w:val="false"/>
          <w:iCs w:val="false"/>
          <w:color w:val="3A3A3A"/>
          <w:sz w:val="22"/>
          <w:szCs w:val="22"/>
        </w:rPr>
        <w:t xml:space="preserve">A veteran peer facilitator running this curriculum brings the lived military experience. The curriculum brings the nervous system framework. Together they produce something neither could produce alone: a room where a veteran can finally hear why they are the way they are — and why it makes sense — in language that does not require them to call themselves broken.</w:t>
      </w:r>
    </w:p>
    <w:p>
      <w:pPr>
        <w:spacing w:after="80" w:before="80"/>
      </w:pPr>
      <w:r>
        <w:rPr>
          <w:rFonts w:ascii="Georgia" w:cs="Georgia" w:eastAsia="Georgia" w:hAnsi="Georgia"/>
          <w:b w:val="false"/>
          <w:bCs w:val="false"/>
          <w:i w:val="false"/>
          <w:iCs w:val="false"/>
          <w:color w:val="3A3A3A"/>
          <w:sz w:val="22"/>
          <w:szCs w:val="22"/>
        </w:rPr>
        <w:t xml:space="preserve">That room does not require a VA waiting list. It does not require a clinical intake form. It requires a trained peer, a scripted curriculum, and a space with chairs.</w:t>
      </w:r>
    </w:p>
    <w:p>
      <w:pPr>
        <w:spacing w:after="80" w:before="80"/>
      </w:pPr>
      <w:r>
        <w:rPr>
          <w:rFonts w:ascii="Georgia" w:cs="Georgia" w:eastAsia="Georgia" w:hAnsi="Georgia"/>
          <w:b/>
          <w:bCs/>
          <w:i w:val="false"/>
          <w:iCs w:val="false"/>
          <w:color w:val="3A3A3A"/>
          <w:sz w:val="22"/>
          <w:szCs w:val="22"/>
        </w:rPr>
        <w:t xml:space="preserve">That is the delivery model the data has been pointing toward for twenty years. That is what Capitol Contracts LLC has built.</w:t>
      </w:r>
    </w:p>
    <w:p>
      <w:pPr>
        <w:spacing w:after="0" w:before="100"/>
      </w:pPr>
      <w:r>
        <w:t xml:space="preserve"/>
      </w:r>
    </w:p>
    <w:p>
      <w:pPr>
        <w:pBdr>
          <w:bottom w:val="single" w:color="C4602A" w:sz="4" w:space="1"/>
        </w:pBdr>
        <w:spacing w:after="160" w:before="160"/>
      </w:pPr>
    </w:p>
    <w:p>
      <w:pPr>
        <w:spacing w:after="80" w:before="80"/>
      </w:pPr>
      <w:r>
        <w:rPr>
          <w:rFonts w:ascii="Georgia" w:cs="Georgia" w:eastAsia="Georgia" w:hAnsi="Georgia"/>
          <w:b w:val="false"/>
          <w:bCs w:val="false"/>
          <w:i/>
          <w:iCs/>
          <w:color w:val="3A3A3A"/>
          <w:sz w:val="22"/>
          <w:szCs w:val="22"/>
        </w:rPr>
        <w:t xml:space="preserve">The number is 17.6 per day. I am not trying to be the person who solved veteran suicide. I am trying to be the person who put the right tool in the right rooms and let it do what it was built to do.</w:t>
      </w:r>
    </w:p>
    <w:p>
      <w:pPr>
        <w:spacing w:after="80" w:before="80"/>
      </w:pPr>
      <w:r>
        <w:rPr>
          <w:rFonts w:ascii="Georgia" w:cs="Georgia" w:eastAsia="Georgia" w:hAnsi="Georgia"/>
          <w:b w:val="false"/>
          <w:bCs w:val="false"/>
          <w:i/>
          <w:iCs/>
          <w:color w:val="3A3A3A"/>
          <w:sz w:val="22"/>
          <w:szCs w:val="22"/>
        </w:rPr>
        <w:t xml:space="preserve">That starts with one pilot. One signed contract. One room full of people who have never had the mechanism explained to them in language that sounds like their life.</w:t>
      </w:r>
    </w:p>
    <w:p>
      <w:pPr>
        <w:spacing w:after="80" w:before="80"/>
      </w:pPr>
      <w:r>
        <w:rPr>
          <w:rFonts w:ascii="Georgia" w:cs="Georgia" w:eastAsia="Georgia" w:hAnsi="Georgia"/>
          <w:b/>
          <w:bCs/>
          <w:i w:val="false"/>
          <w:iCs w:val="false"/>
          <w:color w:val="C4602A"/>
          <w:sz w:val="22"/>
          <w:szCs w:val="22"/>
        </w:rPr>
        <w:t xml:space="preserve">If you run programs that reach veterans before and after the transition — I want to talk to you.</w:t>
      </w:r>
    </w:p>
    <w:p>
      <w:pPr>
        <w:spacing w:after="0" w:before="100"/>
      </w:pPr>
      <w:r>
        <w:t xml:space="preserve"/>
      </w:r>
    </w:p>
    <w:p>
      <w:pPr>
        <w:pBdr>
          <w:bottom w:val="single" w:color="D0C8C0" w:sz="4" w:space="1"/>
        </w:pBdr>
        <w:spacing w:after="160" w:before="160"/>
      </w:pPr>
    </w:p>
    <w:p>
      <w:pPr>
        <w:spacing w:after="80" w:before="80"/>
      </w:pPr>
      <w:r>
        <w:rPr>
          <w:rFonts w:ascii="Georgia" w:cs="Georgia" w:eastAsia="Georgia" w:hAnsi="Georgia"/>
          <w:b w:val="false"/>
          <w:bCs w:val="false"/>
          <w:i w:val="false"/>
          <w:iCs w:val="false"/>
          <w:color w:val="6A6A6A"/>
          <w:sz w:val="22"/>
          <w:szCs w:val="22"/>
        </w:rPr>
        <w:t xml:space="preserve">Capitol Contracts LLC  |  Clarksville, Arkansas</w:t>
      </w:r>
    </w:p>
    <w:p>
      <w:pPr>
        <w:spacing w:after="80" w:before="80"/>
      </w:pPr>
      <w:r>
        <w:rPr>
          <w:rFonts w:ascii="Georgia" w:cs="Georgia" w:eastAsia="Georgia" w:hAnsi="Georgia"/>
          <w:b w:val="false"/>
          <w:bCs w:val="false"/>
          <w:i w:val="false"/>
          <w:iCs w:val="false"/>
          <w:color w:val="6A6A6A"/>
          <w:sz w:val="22"/>
          <w:szCs w:val="22"/>
        </w:rPr>
        <w:t xml:space="preserve">mave9055.github.io/What-Really-Happened</w:t>
      </w:r>
    </w:p>
    <w:p>
      <w:pPr>
        <w:spacing w:after="80" w:before="80"/>
      </w:pPr>
      <w:r>
        <w:rPr>
          <w:rFonts w:ascii="Georgia" w:cs="Georgia" w:eastAsia="Georgia" w:hAnsi="Georgia"/>
          <w:b w:val="false"/>
          <w:bCs w:val="false"/>
          <w:i w:val="false"/>
          <w:iCs w:val="false"/>
          <w:color w:val="6A6A6A"/>
          <w:sz w:val="22"/>
          <w:szCs w:val="22"/>
        </w:rPr>
        <w:t xml:space="preserve">UEI: HH77KN5AV5X7  |  CAGE: 9ZFJ6  |  SDVOSB  |  HUBZone  |  SAM.gov Registered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2026-04-05T15:00:21.286Z</dcterms:created>
  <dcterms:modified xsi:type="dcterms:W3CDTF">2026-04-05T15:00:21.287Z</dcterms:modified>
</cp:coreProperties>
</file>

<file path=docProps/custom.xml><?xml version="1.0" encoding="utf-8"?>
<Properties xmlns="http://schemas.openxmlformats.org/officeDocument/2006/custom-properties" xmlns:vt="http://schemas.openxmlformats.org/officeDocument/2006/docPropsVTypes"/>
</file>