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6A6A6A"/>
          <w:sz w:val="22"/>
          <w:szCs w:val="22"/>
        </w:rPr>
        <w:t xml:space="preserve">CAPITOL CONTRACTS LLC</w:t>
      </w:r>
      <w:r>
        <w:rPr>
          <w:rFonts w:ascii="Arial" w:cs="Arial" w:eastAsia="Arial" w:hAnsi="Arial"/>
          <w:color w:val="6A6A6A"/>
          <w:sz w:val="18"/>
          <w:szCs w:val="18"/>
        </w:rPr>
        <w:t xml:space="preserve">   |   SERVICE-DISABLED VETERAN-OWNED SMALL BUSINESS</w:t>
      </w:r>
    </w:p>
    <w:p>
      <w:pPr>
        <w:spacing w:after="40" w:before="0"/>
      </w:pPr>
      <w:r>
        <w:rPr>
          <w:rFonts w:ascii="Arial" w:cs="Arial" w:eastAsia="Arial" w:hAnsi="Arial"/>
          <w:color w:val="6A6A6A"/>
          <w:sz w:val="18"/>
          <w:szCs w:val="18"/>
        </w:rPr>
        <w:t xml:space="preserve">UEI: HH77KN5AV5X7  |  CAGE: 9ZFJ6  |  NAICS: 611710, 611430, 624190  |  Clarksville, AR</w:t>
      </w:r>
    </w:p>
    <w:p>
      <w:pPr>
        <w:pBdr>
          <w:bottom w:val="single" w:color="C4602A" w:sz="12" w:space="1"/>
        </w:pBdr>
        <w:spacing w:after="360" w:before="0"/>
      </w:pPr>
    </w:p>
    <w:p>
      <w:pPr>
        <w:spacing w:after="120" w:before="0"/>
      </w:pPr>
      <w:r>
        <w:rPr>
          <w:rFonts w:ascii="Arial" w:cs="Arial" w:eastAsia="Arial" w:hAnsi="Arial"/>
          <w:b/>
          <w:bCs/>
          <w:color w:val="1A1A1A"/>
          <w:sz w:val="52"/>
          <w:szCs w:val="52"/>
        </w:rPr>
        <w:t xml:space="preserve">The Hidden Kill Zone:</w:t>
      </w:r>
    </w:p>
    <w:p>
      <w:pPr>
        <w:spacing w:after="80" w:before="0"/>
      </w:pPr>
      <w:r>
        <w:rPr>
          <w:rFonts w:ascii="Arial" w:cs="Arial" w:eastAsia="Arial" w:hAnsi="Arial"/>
          <w:b/>
          <w:bCs/>
          <w:color w:val="1A1A1A"/>
          <w:sz w:val="36"/>
          <w:szCs w:val="36"/>
        </w:rPr>
        <w:t xml:space="preserve">Why $19 Billion Has Not Moved the Veteran Suicide Rate,</w:t>
      </w:r>
    </w:p>
    <w:p>
      <w:pPr>
        <w:spacing w:after="240" w:before="0"/>
      </w:pPr>
      <w:r>
        <w:rPr>
          <w:rFonts w:ascii="Arial" w:cs="Arial" w:eastAsia="Arial" w:hAnsi="Arial"/>
          <w:i/>
          <w:iCs/>
          <w:color w:val="C4602A"/>
          <w:sz w:val="36"/>
          <w:szCs w:val="36"/>
        </w:rPr>
        <w:t xml:space="preserve">and What Non-Clinical Peer Delivery Can Do That Clinical Models Cannot</w:t>
      </w:r>
    </w:p>
    <w:p>
      <w:pPr>
        <w:spacing w:after="80" w:before="0"/>
      </w:pPr>
      <w:r>
        <w:rPr>
          <w:rFonts w:ascii="Arial" w:cs="Arial" w:eastAsia="Arial" w:hAnsi="Arial"/>
          <w:color w:val="6A6A6A"/>
          <w:sz w:val="22"/>
          <w:szCs w:val="22"/>
        </w:rPr>
        <w:t xml:space="preserve">A White Paper by Capitol Contracts LLC</w:t>
      </w:r>
    </w:p>
    <w:p>
      <w:pPr>
        <w:spacing w:after="60" w:before="0"/>
      </w:pPr>
      <w:r>
        <w:rPr>
          <w:rFonts w:ascii="Arial" w:cs="Arial" w:eastAsia="Arial" w:hAnsi="Arial"/>
          <w:color w:val="6A6A6A"/>
          <w:sz w:val="22"/>
          <w:szCs w:val="22"/>
        </w:rPr>
        <w:t xml:space="preserve">April 2026</w:t>
      </w:r>
    </w:p>
    <w:p>
      <w:pPr>
        <w:spacing w:after="60" w:before="0"/>
      </w:pPr>
      <w:r>
        <w:rPr>
          <w:rFonts w:ascii="Arial" w:cs="Arial" w:eastAsia="Arial" w:hAnsi="Arial"/>
          <w:color w:val="6A6A6A"/>
          <w:sz w:val="20"/>
          <w:szCs w:val="20"/>
        </w:rPr>
        <w:t xml:space="preserve">Prepared for: VA Program Directors, DoD Transition Assistance Program Administrators,</w:t>
      </w:r>
    </w:p>
    <w:p>
      <w:pPr>
        <w:spacing w:after="240" w:before="0"/>
      </w:pPr>
      <w:r>
        <w:rPr>
          <w:rFonts w:ascii="Arial" w:cs="Arial" w:eastAsia="Arial" w:hAnsi="Arial"/>
          <w:color w:val="6A6A6A"/>
          <w:sz w:val="20"/>
          <w:szCs w:val="20"/>
        </w:rPr>
        <w:t xml:space="preserve">Veteran Treatment Court Coordinators, and Federal Contracting Officers</w:t>
      </w:r>
    </w:p>
    <w:p>
      <w:r>
        <w:br w:type="page"/>
      </w:r>
    </w:p>
    <w:p>
      <w:pPr>
        <w:spacing w:after="100" w:before="320"/>
      </w:pPr>
      <w:r>
        <w:rPr>
          <w:rFonts w:ascii="Arial" w:cs="Arial" w:eastAsia="Arial" w:hAnsi="Arial"/>
          <w:b/>
          <w:bCs/>
          <w:color w:val="C4602A"/>
          <w:sz w:val="26"/>
          <w:szCs w:val="26"/>
        </w:rPr>
        <w:t xml:space="preserve">Executive Summary</w:t>
      </w:r>
    </w:p>
    <w:p>
      <w:pPr>
        <w:pBdr>
          <w:bottom w:val="single" w:color="C4602A" w:sz="4" w:space="1"/>
        </w:pBdr>
        <w:spacing w:after="160" w:before="160"/>
      </w:pPr>
    </w:p>
    <w:p>
      <w:pPr>
        <w:spacing w:after="80" w:before="60"/>
        <w:jc w:val="left"/>
      </w:pPr>
      <w:r>
        <w:rPr>
          <w:rFonts w:ascii="Arial" w:cs="Arial" w:eastAsia="Arial" w:hAnsi="Arial"/>
          <w:b w:val="false"/>
          <w:bCs w:val="false"/>
          <w:i w:val="false"/>
          <w:iCs w:val="false"/>
          <w:color w:val="3A3A3A"/>
          <w:sz w:val="22"/>
          <w:szCs w:val="22"/>
        </w:rPr>
        <w:t xml:space="preserve">Veteran suicide is one of the most studied and least solved public health crises in the United States. Despite $19 billion in annual VA mental health spending, 17.6 veterans die by suicide every day — a number that has not meaningfully declined in two decades. The dominant explanation is access: not enough clinicians, too many wait times, too much stigma around help-seeking.</w:t>
      </w:r>
    </w:p>
    <w:p>
      <w:pPr>
        <w:spacing w:after="80" w:before="60"/>
        <w:jc w:val="left"/>
      </w:pPr>
      <w:r>
        <w:rPr>
          <w:rFonts w:ascii="Arial" w:cs="Arial" w:eastAsia="Arial" w:hAnsi="Arial"/>
          <w:b w:val="false"/>
          <w:bCs w:val="false"/>
          <w:i w:val="false"/>
          <w:iCs w:val="false"/>
          <w:color w:val="3A3A3A"/>
          <w:sz w:val="22"/>
          <w:szCs w:val="22"/>
        </w:rPr>
        <w:t xml:space="preserve">This paper argues that access is not the primary problem. Delivery is.</w:t>
      </w:r>
    </w:p>
    <w:p>
      <w:pPr>
        <w:spacing w:after="80" w:before="60"/>
        <w:jc w:val="left"/>
      </w:pPr>
      <w:r>
        <w:rPr>
          <w:rFonts w:ascii="Arial" w:cs="Arial" w:eastAsia="Arial" w:hAnsi="Arial"/>
          <w:b w:val="false"/>
          <w:bCs w:val="false"/>
          <w:i w:val="false"/>
          <w:iCs w:val="false"/>
          <w:color w:val="3A3A3A"/>
          <w:sz w:val="22"/>
          <w:szCs w:val="22"/>
        </w:rPr>
        <w:t xml:space="preserve">The veterans most at risk — the 10.6 per day who die by suicide outside of VHA contact — are not failing to find the system. They are finding it and leaving, or avoiding it entirely, because the system's clinical model does not speak the language of the nervous system injury it is trying to treat.</w:t>
      </w:r>
    </w:p>
    <w:p>
      <w:pPr>
        <w:spacing w:after="80" w:before="60"/>
        <w:jc w:val="left"/>
      </w:pPr>
      <w:r>
        <w:rPr>
          <w:rFonts w:ascii="Arial" w:cs="Arial" w:eastAsia="Arial" w:hAnsi="Arial"/>
          <w:b w:val="false"/>
          <w:bCs w:val="false"/>
          <w:i w:val="false"/>
          <w:iCs w:val="false"/>
          <w:color w:val="3A3A3A"/>
          <w:sz w:val="22"/>
          <w:szCs w:val="22"/>
        </w:rPr>
        <w:t xml:space="preserve">The hidden kill zone is not the battlefield. It is the transition — the first year after separation, when the military-trained nervous system loses its structure, its identity, its co-regulation system, and its mission, simultaneously. That convergence produces a pressure cooker state that clinical intake models are not designed to catch, and that licensed-staff delivery cannot reach at scale.</w:t>
      </w:r>
    </w:p>
    <w:p>
      <w:pPr>
        <w:spacing w:after="80" w:before="60"/>
        <w:jc w:val="left"/>
      </w:pPr>
      <w:r>
        <w:rPr>
          <w:rFonts w:ascii="Arial" w:cs="Arial" w:eastAsia="Arial" w:hAnsi="Arial"/>
          <w:b w:val="false"/>
          <w:bCs w:val="false"/>
          <w:i w:val="false"/>
          <w:iCs w:val="false"/>
          <w:color w:val="3A3A3A"/>
          <w:sz w:val="22"/>
          <w:szCs w:val="22"/>
        </w:rPr>
        <w:t xml:space="preserve">Capitol Contracts LLC has built a non-clinical psychoeducational curriculum — What Really Happened: A Trauma Education Series — that addresses this gap directly. Eighteen fully scripted sessions. Peer facilitator delivery. No clinical license required. Built from a documented case study of complex trauma survival. Deployable in corrections, reentry, VA community programs, veteran treatment courts, and pre-discharge transition programs from day one.</w:t>
      </w:r>
    </w:p>
    <w:p>
      <w:pPr>
        <w:spacing w:after="80" w:before="60"/>
        <w:jc w:val="left"/>
      </w:pPr>
      <w:r>
        <w:rPr>
          <w:rFonts w:ascii="Arial" w:cs="Arial" w:eastAsia="Arial" w:hAnsi="Arial"/>
          <w:b/>
          <w:bCs/>
          <w:i w:val="false"/>
          <w:iCs w:val="false"/>
          <w:color w:val="3A3A3A"/>
          <w:sz w:val="22"/>
          <w:szCs w:val="22"/>
        </w:rPr>
        <w:t xml:space="preserve">This paper makes the clinical and market case for that model.</w:t>
      </w:r>
    </w:p>
    <w:p>
      <w:pPr>
        <w:spacing w:after="0" w:before="120"/>
      </w:pPr>
      <w:r>
        <w:t xml:space="preserve"/>
      </w:r>
    </w:p>
    <w:p>
      <w:r>
        <w:br w:type="page"/>
      </w:r>
    </w:p>
    <w:p>
      <w:pPr>
        <w:spacing w:after="120" w:before="480"/>
      </w:pPr>
      <w:r>
        <w:rPr>
          <w:rFonts w:ascii="Arial" w:cs="Arial" w:eastAsia="Arial" w:hAnsi="Arial"/>
          <w:b/>
          <w:bCs/>
          <w:color w:val="1A1A1A"/>
          <w:sz w:val="32"/>
          <w:szCs w:val="32"/>
        </w:rPr>
        <w:t xml:space="preserve">Section 1: The Numbers</w:t>
      </w:r>
    </w:p>
    <w:p>
      <w:pPr>
        <w:pBdr>
          <w:bottom w:val="single" w:color="D0C8C0" w:sz="4" w:space="1"/>
        </w:pBdr>
        <w:spacing w:after="160" w:before="160"/>
      </w:pPr>
    </w:p>
    <w:p>
      <w:pPr>
        <w:spacing w:after="100" w:before="320"/>
      </w:pPr>
      <w:r>
        <w:rPr>
          <w:rFonts w:ascii="Arial" w:cs="Arial" w:eastAsia="Arial" w:hAnsi="Arial"/>
          <w:b/>
          <w:bCs/>
          <w:color w:val="C4602A"/>
          <w:sz w:val="26"/>
          <w:szCs w:val="26"/>
        </w:rPr>
        <w:t xml:space="preserve">What the Data Actually Shows</w:t>
      </w:r>
    </w:p>
    <w:p>
      <w:pPr>
        <w:spacing w:after="80" w:before="60"/>
        <w:jc w:val="left"/>
      </w:pPr>
      <w:r>
        <w:rPr>
          <w:rFonts w:ascii="Arial" w:cs="Arial" w:eastAsia="Arial" w:hAnsi="Arial"/>
          <w:b w:val="false"/>
          <w:bCs w:val="false"/>
          <w:i w:val="false"/>
          <w:iCs w:val="false"/>
          <w:color w:val="3A3A3A"/>
          <w:sz w:val="22"/>
          <w:szCs w:val="22"/>
        </w:rPr>
        <w:t xml:space="preserve">The most current comprehensive data comes from the VA's 2024 National Veteran Suicide Prevention Annual Report, covering 2001 through 2022, with updated state-level data through 2023.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17.6 / day</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Average veteran suicides per day in 2022 (VA, 2024 Annual Report)</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6,407</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Total veteran suicides in 2022 — three more than in 2021</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10.6 / day</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Veteran suicides per day among veterans with NO recent VHA contact</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46.2 / 100K</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Suicide rate in the first year after separation from active duty</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1.5x</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Veteran suicide rate compared to civilian population</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2.5x</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Female veteran suicide rate compared to civilian women</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58%</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Increase in veteran suicide rate since 2001 — faster than the civilian increase</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Up to 44/day</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America's Warrior Partnership estimate including self-injury mortality / overdose</w:t>
            </w:r>
          </w:p>
        </w:tc>
      </w:tr>
    </w:tbl>
    <w:p>
      <w:pPr>
        <w:spacing w:after="0" w:before="120"/>
      </w:pPr>
      <w:r>
        <w:t xml:space="preserve"/>
      </w:r>
    </w:p>
    <w:p>
      <w:pPr>
        <w:spacing w:after="80" w:before="60"/>
        <w:jc w:val="left"/>
      </w:pPr>
      <w:r>
        <w:rPr>
          <w:rFonts w:ascii="Arial" w:cs="Arial" w:eastAsia="Arial" w:hAnsi="Arial"/>
          <w:b/>
          <w:bCs/>
          <w:i w:val="false"/>
          <w:iCs w:val="false"/>
          <w:color w:val="3A3A3A"/>
          <w:sz w:val="22"/>
          <w:szCs w:val="22"/>
        </w:rPr>
        <w:t xml:space="preserve">The most significant figure in that table is 10.6 per day — veterans dying outside of VHA contact. These are not people the system failed to treat adequately. These are people the system is not reaching at all. Any solution that requires VA enrollment or clinical intake to function will never reach this population.</w:t>
      </w:r>
    </w:p>
    <w:p>
      <w:pPr>
        <w:spacing w:after="100" w:before="320"/>
      </w:pPr>
      <w:r>
        <w:rPr>
          <w:rFonts w:ascii="Arial" w:cs="Arial" w:eastAsia="Arial" w:hAnsi="Arial"/>
          <w:b/>
          <w:bCs/>
          <w:color w:val="C4602A"/>
          <w:sz w:val="26"/>
          <w:szCs w:val="26"/>
        </w:rPr>
        <w:t xml:space="preserve">Who Is Dying</w:t>
      </w:r>
    </w:p>
    <w:p>
      <w:pPr>
        <w:spacing w:after="80" w:before="60"/>
        <w:jc w:val="left"/>
      </w:pPr>
      <w:r>
        <w:rPr>
          <w:rFonts w:ascii="Arial" w:cs="Arial" w:eastAsia="Arial" w:hAnsi="Arial"/>
          <w:b w:val="false"/>
          <w:bCs w:val="false"/>
          <w:i w:val="false"/>
          <w:iCs w:val="false"/>
          <w:color w:val="3A3A3A"/>
          <w:sz w:val="22"/>
          <w:szCs w:val="22"/>
        </w:rPr>
        <w:t xml:space="preserve">The VA's Behavioral Health Autopsy Program reviewed actual suicide deaths and identified the most common risk factors present at the time of death: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53.8%</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Chronic pain</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51.4%</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Sleep problems</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42.5%</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Increased health problems</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34.3%</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Recent declines in physical ability</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33.1%</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Relationship problems</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30.4%</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Hopelessness</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27.1%</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Impulsivity</w:t>
            </w:r>
          </w:p>
        </w:tc>
      </w:tr>
      <w:tr>
        <w:tc>
          <w:tcPr>
            <w:tcW w:type="dxa" w:w="220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pPr>
              <w:jc w:val="center"/>
            </w:pPr>
            <w:r>
              <w:rPr>
                <w:rFonts w:ascii="Arial" w:cs="Arial" w:eastAsia="Arial" w:hAnsi="Arial"/>
                <w:b/>
                <w:bCs/>
                <w:color w:val="C4602A"/>
                <w:sz w:val="32"/>
                <w:szCs w:val="32"/>
              </w:rPr>
              <w:t xml:space="preserve">27.1%</w:t>
            </w:r>
          </w:p>
        </w:tc>
        <w:tc>
          <w:tcPr>
            <w:tcW w:type="dxa" w:w="7160"/>
            <w:tcBorders>
              <w:top w:val="single" w:color="D0C8C0" w:sz="1"/>
              <w:left w:val="single" w:color="D0C8C0" w:sz="1"/>
              <w:bottom w:val="single" w:color="D0C8C0" w:sz="1"/>
              <w:right w:val="single" w:color="D0C8C0" w:sz="1"/>
            </w:tcBorders>
            <w:tcMar>
              <w:top w:type="dxa" w:w="100"/>
              <w:left w:type="dxa" w:w="200"/>
              <w:bottom w:type="dxa" w:w="100"/>
              <w:right w:type="dxa" w:w="160"/>
            </w:tcMar>
          </w:tcPr>
          <w:p>
            <w:r>
              <w:rPr>
                <w:rFonts w:ascii="Arial" w:cs="Arial" w:eastAsia="Arial" w:hAnsi="Arial"/>
                <w:color w:val="3A3A3A"/>
                <w:sz w:val="22"/>
                <w:szCs w:val="22"/>
              </w:rPr>
              <w:t xml:space="preserve">Unsecured firearms in the home</w:t>
            </w:r>
          </w:p>
        </w:tc>
      </w:tr>
    </w:tbl>
    <w:p>
      <w:pPr>
        <w:spacing w:after="0" w:before="120"/>
      </w:pPr>
      <w:r>
        <w:t xml:space="preserve"/>
      </w:r>
    </w:p>
    <w:p>
      <w:pPr>
        <w:spacing w:after="80" w:before="60"/>
        <w:jc w:val="left"/>
      </w:pPr>
      <w:r>
        <w:rPr>
          <w:rFonts w:ascii="Arial" w:cs="Arial" w:eastAsia="Arial" w:hAnsi="Arial"/>
          <w:b w:val="false"/>
          <w:bCs w:val="false"/>
          <w:i w:val="false"/>
          <w:iCs w:val="false"/>
          <w:color w:val="3A3A3A"/>
          <w:sz w:val="22"/>
          <w:szCs w:val="22"/>
        </w:rPr>
        <w:t xml:space="preserve">These are downstream symptoms. They describe what the system looks like when it is already in crisis. They do not describe the upstream mechanism that produced the crisis — which is the subject of Section 2.</w:t>
      </w:r>
    </w:p>
    <w:p>
      <w:pPr>
        <w:spacing w:after="100" w:before="320"/>
      </w:pPr>
      <w:r>
        <w:rPr>
          <w:rFonts w:ascii="Arial" w:cs="Arial" w:eastAsia="Arial" w:hAnsi="Arial"/>
          <w:b/>
          <w:bCs/>
          <w:color w:val="C4602A"/>
          <w:sz w:val="26"/>
          <w:szCs w:val="26"/>
        </w:rPr>
        <w:t xml:space="preserve">Substance Use: The Co-Occurring Epidemic</w:t>
      </w:r>
    </w:p>
    <w:p>
      <w:pPr>
        <w:spacing w:after="80" w:before="60"/>
        <w:jc w:val="left"/>
      </w:pPr>
      <w:r>
        <w:rPr>
          <w:rFonts w:ascii="Arial" w:cs="Arial" w:eastAsia="Arial" w:hAnsi="Arial"/>
          <w:b w:val="false"/>
          <w:bCs w:val="false"/>
          <w:i w:val="false"/>
          <w:iCs w:val="false"/>
          <w:color w:val="3A3A3A"/>
          <w:sz w:val="22"/>
          <w:szCs w:val="22"/>
        </w:rPr>
        <w:t xml:space="preserve">Substance use is not a separate problem from veteran suicide. It is the same problem expressing itself through a different channel.</w:t>
      </w:r>
    </w:p>
    <w:p>
      <w:pPr>
        <w:pStyle w:val="ListParagraph"/>
        <w:numPr>
          <w:ilvl w:val="0"/>
          <w:numId w:val="2"/>
        </w:numPr>
        <w:spacing w:after="40" w:before="40"/>
      </w:pPr>
      <w:r>
        <w:rPr>
          <w:rFonts w:ascii="Arial" w:cs="Arial" w:eastAsia="Arial" w:hAnsi="Arial"/>
          <w:color w:val="3A3A3A"/>
          <w:sz w:val="22"/>
          <w:szCs w:val="22"/>
        </w:rPr>
        <w:t xml:space="preserve">14% of all U.S. veterans — 2.8 million people — reported at least one substance use disorder in the past year (2023 National Survey on Drug Use and Health)</w:t>
      </w:r>
    </w:p>
    <w:p>
      <w:pPr>
        <w:pStyle w:val="ListParagraph"/>
        <w:numPr>
          <w:ilvl w:val="0"/>
          <w:numId w:val="2"/>
        </w:numPr>
        <w:spacing w:after="40" w:before="40"/>
      </w:pPr>
      <w:r>
        <w:rPr>
          <w:rFonts w:ascii="Arial" w:cs="Arial" w:eastAsia="Arial" w:hAnsi="Arial"/>
          <w:color w:val="3A3A3A"/>
          <w:sz w:val="22"/>
          <w:szCs w:val="22"/>
        </w:rPr>
        <w:t xml:space="preserve">Among veterans with a diagnosed SUD: more than 80% abuse alcohol, nearly 27% abuse illegal drugs, approximately 7% abuse both</w:t>
      </w:r>
    </w:p>
    <w:p>
      <w:pPr>
        <w:pStyle w:val="ListParagraph"/>
        <w:numPr>
          <w:ilvl w:val="0"/>
          <w:numId w:val="2"/>
        </w:numPr>
        <w:spacing w:after="40" w:before="40"/>
      </w:pPr>
      <w:r>
        <w:rPr>
          <w:rFonts w:ascii="Arial" w:cs="Arial" w:eastAsia="Arial" w:hAnsi="Arial"/>
          <w:color w:val="3A3A3A"/>
          <w:sz w:val="22"/>
          <w:szCs w:val="22"/>
        </w:rPr>
        <w:t xml:space="preserve">30% of Army suicides and over 45% of suicide attempts since 2003 involved alcohol or drug use at the time of the act (NIDA)</w:t>
      </w:r>
    </w:p>
    <w:p>
      <w:pPr>
        <w:pStyle w:val="ListParagraph"/>
        <w:numPr>
          <w:ilvl w:val="0"/>
          <w:numId w:val="2"/>
        </w:numPr>
        <w:spacing w:after="40" w:before="40"/>
      </w:pPr>
      <w:r>
        <w:rPr>
          <w:rFonts w:ascii="Arial" w:cs="Arial" w:eastAsia="Arial" w:hAnsi="Arial"/>
          <w:color w:val="3A3A3A"/>
          <w:sz w:val="22"/>
          <w:szCs w:val="22"/>
        </w:rPr>
        <w:t xml:space="preserve">More than 1 in 5 veterans with PTSD also has a co-occurring alcohol or drug addiction</w:t>
      </w:r>
    </w:p>
    <w:p>
      <w:pPr>
        <w:pStyle w:val="ListParagraph"/>
        <w:numPr>
          <w:ilvl w:val="0"/>
          <w:numId w:val="2"/>
        </w:numPr>
        <w:spacing w:after="40" w:before="40"/>
      </w:pPr>
      <w:r>
        <w:rPr>
          <w:rFonts w:ascii="Arial" w:cs="Arial" w:eastAsia="Arial" w:hAnsi="Arial"/>
          <w:color w:val="3A3A3A"/>
          <w:sz w:val="22"/>
          <w:szCs w:val="22"/>
        </w:rPr>
        <w:t xml:space="preserve">From 2001 to 2020, the prevalence of mental health or SUD among VHA participants rose from 27.9% to 41.9%</w:t>
      </w:r>
    </w:p>
    <w:p>
      <w:pPr>
        <w:spacing w:after="0" w:before="120"/>
      </w:pPr>
      <w:r>
        <w:t xml:space="preserve"/>
      </w:r>
    </w:p>
    <w:p>
      <w:pPr>
        <w:spacing w:after="80" w:before="60"/>
        <w:jc w:val="left"/>
      </w:pPr>
      <w:r>
        <w:rPr>
          <w:rFonts w:ascii="Arial" w:cs="Arial" w:eastAsia="Arial" w:hAnsi="Arial"/>
          <w:b w:val="false"/>
          <w:bCs w:val="false"/>
          <w:i/>
          <w:iCs/>
          <w:color w:val="3A3A3A"/>
          <w:sz w:val="22"/>
          <w:szCs w:val="22"/>
        </w:rPr>
        <w:t xml:space="preserve">The clinical interpretation of this data is that substance use is a comorbidity. The nervous system interpretation is that substance use is a regulation strategy — the same mechanism as productivity-as-dissociation, applied chemically. The veteran is not self-destructing. The veteran is trying to turn the volume down on a nervous system that never came off high alert. Understanding that distinction is the difference between treating the symptom and addressing the mechanism.</w:t>
      </w:r>
    </w:p>
    <w:p>
      <w:r>
        <w:br w:type="page"/>
      </w:r>
    </w:p>
    <w:p>
      <w:pPr>
        <w:spacing w:after="120" w:before="480"/>
      </w:pPr>
      <w:r>
        <w:rPr>
          <w:rFonts w:ascii="Arial" w:cs="Arial" w:eastAsia="Arial" w:hAnsi="Arial"/>
          <w:b/>
          <w:bCs/>
          <w:color w:val="1A1A1A"/>
          <w:sz w:val="32"/>
          <w:szCs w:val="32"/>
        </w:rPr>
        <w:t xml:space="preserve">Section 2: The Hidden Mechanism</w:t>
      </w:r>
    </w:p>
    <w:p>
      <w:pPr>
        <w:pBdr>
          <w:bottom w:val="single" w:color="D0C8C0" w:sz="4" w:space="1"/>
        </w:pBdr>
        <w:spacing w:after="160" w:before="160"/>
      </w:pPr>
    </w:p>
    <w:p>
      <w:pPr>
        <w:spacing w:after="100" w:before="320"/>
      </w:pPr>
      <w:r>
        <w:rPr>
          <w:rFonts w:ascii="Arial" w:cs="Arial" w:eastAsia="Arial" w:hAnsi="Arial"/>
          <w:b/>
          <w:bCs/>
          <w:color w:val="C4602A"/>
          <w:sz w:val="26"/>
          <w:szCs w:val="26"/>
        </w:rPr>
        <w:t xml:space="preserve">What the Data Points Toward But Does Not Name</w:t>
      </w:r>
    </w:p>
    <w:p>
      <w:pPr>
        <w:spacing w:after="80" w:before="60"/>
        <w:jc w:val="left"/>
      </w:pPr>
      <w:r>
        <w:rPr>
          <w:rFonts w:ascii="Arial" w:cs="Arial" w:eastAsia="Arial" w:hAnsi="Arial"/>
          <w:b w:val="false"/>
          <w:bCs w:val="false"/>
          <w:i w:val="false"/>
          <w:iCs w:val="false"/>
          <w:color w:val="3A3A3A"/>
          <w:sz w:val="22"/>
          <w:szCs w:val="22"/>
        </w:rPr>
        <w:t xml:space="preserve">The VA's annual report identifies risk factors. It does not identify the root cause. The root cause is a delivery problem upstream of all the factors listed above, and it begins before discharge.</w:t>
      </w:r>
    </w:p>
    <w:p>
      <w:pPr>
        <w:spacing w:after="100" w:before="320"/>
      </w:pPr>
      <w:r>
        <w:rPr>
          <w:rFonts w:ascii="Arial" w:cs="Arial" w:eastAsia="Arial" w:hAnsi="Arial"/>
          <w:b/>
          <w:bCs/>
          <w:color w:val="C4602A"/>
          <w:sz w:val="26"/>
          <w:szCs w:val="26"/>
        </w:rPr>
        <w:t xml:space="preserve">The Military Trains the Nervous System for War. Nobody Untrained It.</w:t>
      </w:r>
    </w:p>
    <w:p>
      <w:pPr>
        <w:spacing w:after="80" w:before="60"/>
        <w:jc w:val="left"/>
      </w:pPr>
      <w:r>
        <w:rPr>
          <w:rFonts w:ascii="Arial" w:cs="Arial" w:eastAsia="Arial" w:hAnsi="Arial"/>
          <w:b w:val="false"/>
          <w:bCs w:val="false"/>
          <w:i w:val="false"/>
          <w:iCs w:val="false"/>
          <w:color w:val="3A3A3A"/>
          <w:sz w:val="22"/>
          <w:szCs w:val="22"/>
        </w:rPr>
        <w:t xml:space="preserve">Military training does not simply teach skills. It systematically rewires the nervous system for a specific threat environment. The features it produces are not incidental — they are the product:</w:t>
      </w:r>
    </w:p>
    <w:p>
      <w:pPr>
        <w:pStyle w:val="ListParagraph"/>
        <w:numPr>
          <w:ilvl w:val="0"/>
          <w:numId w:val="2"/>
        </w:numPr>
        <w:spacing w:after="40" w:before="40"/>
      </w:pPr>
      <w:r>
        <w:rPr>
          <w:rFonts w:ascii="Arial" w:cs="Arial" w:eastAsia="Arial" w:hAnsi="Arial"/>
          <w:color w:val="3A3A3A"/>
          <w:sz w:val="22"/>
          <w:szCs w:val="22"/>
        </w:rPr>
        <w:t xml:space="preserve">Hypervigilance — constant environmental threat assessment, below conscious awareness</w:t>
      </w:r>
    </w:p>
    <w:p>
      <w:pPr>
        <w:pStyle w:val="ListParagraph"/>
        <w:numPr>
          <w:ilvl w:val="0"/>
          <w:numId w:val="2"/>
        </w:numPr>
        <w:spacing w:after="40" w:before="40"/>
      </w:pPr>
      <w:r>
        <w:rPr>
          <w:rFonts w:ascii="Arial" w:cs="Arial" w:eastAsia="Arial" w:hAnsi="Arial"/>
          <w:color w:val="3A3A3A"/>
          <w:sz w:val="22"/>
          <w:szCs w:val="22"/>
        </w:rPr>
        <w:t xml:space="preserve">Suppression of emotional response — feelings are a liability in a threat environment</w:t>
      </w:r>
    </w:p>
    <w:p>
      <w:pPr>
        <w:pStyle w:val="ListParagraph"/>
        <w:numPr>
          <w:ilvl w:val="0"/>
          <w:numId w:val="2"/>
        </w:numPr>
        <w:spacing w:after="40" w:before="40"/>
      </w:pPr>
      <w:r>
        <w:rPr>
          <w:rFonts w:ascii="Arial" w:cs="Arial" w:eastAsia="Arial" w:hAnsi="Arial"/>
          <w:color w:val="3A3A3A"/>
          <w:sz w:val="22"/>
          <w:szCs w:val="22"/>
        </w:rPr>
        <w:t xml:space="preserve">Identity fusion with the unit — individual identity subordinated to collective mission</w:t>
      </w:r>
    </w:p>
    <w:p>
      <w:pPr>
        <w:pStyle w:val="ListParagraph"/>
        <w:numPr>
          <w:ilvl w:val="0"/>
          <w:numId w:val="2"/>
        </w:numPr>
        <w:spacing w:after="40" w:before="40"/>
      </w:pPr>
      <w:r>
        <w:rPr>
          <w:rFonts w:ascii="Arial" w:cs="Arial" w:eastAsia="Arial" w:hAnsi="Arial"/>
          <w:color w:val="3A3A3A"/>
          <w:sz w:val="22"/>
          <w:szCs w:val="22"/>
        </w:rPr>
        <w:t xml:space="preserve">Binary threat assessment — fast, high-speed sorting of situations into safe or dangerous with no middle ground tolerated</w:t>
      </w:r>
    </w:p>
    <w:p>
      <w:pPr>
        <w:pStyle w:val="ListParagraph"/>
        <w:numPr>
          <w:ilvl w:val="0"/>
          <w:numId w:val="2"/>
        </w:numPr>
        <w:spacing w:after="40" w:before="40"/>
      </w:pPr>
      <w:r>
        <w:rPr>
          <w:rFonts w:ascii="Arial" w:cs="Arial" w:eastAsia="Arial" w:hAnsi="Arial"/>
          <w:color w:val="3A3A3A"/>
          <w:sz w:val="22"/>
          <w:szCs w:val="22"/>
        </w:rPr>
        <w:t xml:space="preserve">Obedience to structure — the chain of command provides the regulatory framework the nervous system operates within</w:t>
      </w:r>
    </w:p>
    <w:p>
      <w:pPr>
        <w:spacing w:after="0" w:before="120"/>
      </w:pPr>
      <w:r>
        <w:t xml:space="preserve"/>
      </w:r>
    </w:p>
    <w:p>
      <w:pPr>
        <w:spacing w:after="80" w:before="60"/>
        <w:jc w:val="left"/>
      </w:pPr>
      <w:r>
        <w:rPr>
          <w:rFonts w:ascii="Arial" w:cs="Arial" w:eastAsia="Arial" w:hAnsi="Arial"/>
          <w:b w:val="false"/>
          <w:bCs w:val="false"/>
          <w:i w:val="false"/>
          <w:iCs w:val="false"/>
          <w:color w:val="3A3A3A"/>
          <w:sz w:val="22"/>
          <w:szCs w:val="22"/>
        </w:rPr>
        <w:t xml:space="preserve">These are not bugs. In a combat environment, they keep people alive and functional under conditions that would break an untrained nervous system.</w:t>
      </w:r>
    </w:p>
    <w:p>
      <w:pPr>
        <w:spacing w:after="80" w:before="60"/>
        <w:jc w:val="left"/>
      </w:pPr>
      <w:r>
        <w:rPr>
          <w:rFonts w:ascii="Arial" w:cs="Arial" w:eastAsia="Arial" w:hAnsi="Arial"/>
          <w:b w:val="false"/>
          <w:bCs w:val="false"/>
          <w:i w:val="false"/>
          <w:iCs w:val="false"/>
          <w:color w:val="3A3A3A"/>
          <w:sz w:val="22"/>
          <w:szCs w:val="22"/>
        </w:rPr>
        <w:t xml:space="preserve">The problem is discharge.</w:t>
      </w:r>
    </w:p>
    <w:p>
      <w:pPr>
        <w:spacing w:after="80" w:before="60"/>
        <w:jc w:val="left"/>
      </w:pPr>
      <w:r>
        <w:rPr>
          <w:rFonts w:ascii="Arial" w:cs="Arial" w:eastAsia="Arial" w:hAnsi="Arial"/>
          <w:b w:val="false"/>
          <w:bCs w:val="false"/>
          <w:i w:val="false"/>
          <w:iCs w:val="false"/>
          <w:color w:val="3A3A3A"/>
          <w:sz w:val="22"/>
          <w:szCs w:val="22"/>
        </w:rPr>
        <w:t xml:space="preserve">When a service member separates from the military, the structure disappears. The unit disappears. The mission disappears. The identity disappears. The chain of command — which was functioning as an external nervous system regulation apparatus — disappears.</w:t>
      </w:r>
    </w:p>
    <w:p>
      <w:pPr>
        <w:spacing w:after="80" w:before="60"/>
        <w:jc w:val="left"/>
      </w:pPr>
      <w:r>
        <w:rPr>
          <w:rFonts w:ascii="Arial" w:cs="Arial" w:eastAsia="Arial" w:hAnsi="Arial"/>
          <w:b w:val="false"/>
          <w:bCs w:val="false"/>
          <w:i w:val="false"/>
          <w:iCs w:val="false"/>
          <w:color w:val="3A3A3A"/>
          <w:sz w:val="22"/>
          <w:szCs w:val="22"/>
        </w:rPr>
        <w:t xml:space="preserve">And the rewired nervous system remains.</w:t>
      </w:r>
    </w:p>
    <w:p>
      <w:pPr>
        <w:spacing w:after="80" w:before="60"/>
        <w:jc w:val="left"/>
      </w:pPr>
      <w:r>
        <w:rPr>
          <w:rFonts w:ascii="Arial" w:cs="Arial" w:eastAsia="Arial" w:hAnsi="Arial"/>
          <w:b w:val="false"/>
          <w:bCs w:val="false"/>
          <w:i w:val="false"/>
          <w:iCs w:val="false"/>
          <w:color w:val="3A3A3A"/>
          <w:sz w:val="22"/>
          <w:szCs w:val="22"/>
        </w:rPr>
        <w:t xml:space="preserve">It is now running a hypervigilant, binary-sorting, emotionally suppressed, structure-dependent operating system in an environment that provides none of the conditions that system was built for. Every ambiguous civilian relationship reads as a threat. Every absence of structure reads as danger. Every emotional response that was suppressed in service now has nowhere to go.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C0" w:sz="1"/>
              <w:left w:val="single" w:color="D0C8C0" w:sz="1"/>
              <w:bottom w:val="single" w:color="D0C8C0" w:sz="1"/>
              <w:right w:val="single" w:color="D0C8C0" w:sz="1"/>
            </w:tcBorders>
            <w:shd w:fill="F0EBE4" w:val="clear"/>
            <w:tcMar>
              <w:top w:type="dxa" w:w="160"/>
              <w:left w:type="dxa" w:w="240"/>
              <w:bottom w:type="dxa" w:w="160"/>
              <w:right w:type="dxa" w:w="240"/>
            </w:tcMar>
          </w:tcPr>
          <w:p>
            <w:pPr>
              <w:spacing w:after="60" w:before="0"/>
            </w:pPr>
            <w:r>
              <w:rPr>
                <w:rFonts w:ascii="Arial" w:cs="Arial" w:eastAsia="Arial" w:hAnsi="Arial"/>
                <w:b/>
                <w:bCs/>
                <w:caps/>
                <w:color w:val="C4602A"/>
                <w:sz w:val="18"/>
                <w:szCs w:val="18"/>
              </w:rPr>
              <w:t xml:space="preserve">The Clinical Term</w:t>
            </w:r>
          </w:p>
          <w:p>
            <w:pPr>
              <w:spacing w:after="0" w:before="0"/>
            </w:pPr>
            <w:r>
              <w:rPr>
                <w:rFonts w:ascii="Arial" w:cs="Arial" w:eastAsia="Arial" w:hAnsi="Arial"/>
                <w:i/>
                <w:iCs/>
                <w:color w:val="3A3A3A"/>
                <w:sz w:val="22"/>
                <w:szCs w:val="22"/>
              </w:rPr>
              <w:t xml:space="preserve">This is the transition as abandonment terror. The military was the attachment object. The unit was the co-regulation system. Discharge is not a career change — it is a nervous system event of the same magnitude as losing a primary attachment.</w:t>
            </w:r>
          </w:p>
        </w:tc>
      </w:tr>
    </w:tbl>
    <w:p>
      <w:pPr>
        <w:spacing w:after="0" w:before="120"/>
      </w:pPr>
      <w:r>
        <w:t xml:space="preserve"/>
      </w:r>
    </w:p>
    <w:p>
      <w:pPr>
        <w:spacing w:after="80" w:before="60"/>
        <w:jc w:val="left"/>
      </w:pPr>
      <w:r>
        <w:rPr>
          <w:rFonts w:ascii="Arial" w:cs="Arial" w:eastAsia="Arial" w:hAnsi="Arial"/>
          <w:b w:val="false"/>
          <w:bCs w:val="false"/>
          <w:i w:val="false"/>
          <w:iCs w:val="false"/>
          <w:color w:val="3A3A3A"/>
          <w:sz w:val="22"/>
          <w:szCs w:val="22"/>
        </w:rPr>
        <w:t xml:space="preserve">The VA's data confirms the consequence: the first year after separation produces the highest suicide rate in the veteran population — 46.2 per 100,000. Not during deployment. Not during combat. After. When the structure is gone.</w:t>
      </w:r>
    </w:p>
    <w:p>
      <w:pPr>
        <w:spacing w:after="100" w:before="320"/>
      </w:pPr>
      <w:r>
        <w:rPr>
          <w:rFonts w:ascii="Arial" w:cs="Arial" w:eastAsia="Arial" w:hAnsi="Arial"/>
          <w:b/>
          <w:bCs/>
          <w:color w:val="C4602A"/>
          <w:sz w:val="26"/>
          <w:szCs w:val="26"/>
        </w:rPr>
        <w:t xml:space="preserve">The Transition Is the Kill Zone</w:t>
      </w:r>
    </w:p>
    <w:p>
      <w:pPr>
        <w:spacing w:after="80" w:before="60"/>
        <w:jc w:val="left"/>
      </w:pPr>
      <w:r>
        <w:rPr>
          <w:rFonts w:ascii="Arial" w:cs="Arial" w:eastAsia="Arial" w:hAnsi="Arial"/>
          <w:b w:val="false"/>
          <w:bCs w:val="false"/>
          <w:i w:val="false"/>
          <w:iCs w:val="false"/>
          <w:color w:val="3A3A3A"/>
          <w:sz w:val="22"/>
          <w:szCs w:val="22"/>
        </w:rPr>
        <w:t xml:space="preserve">Current prevention efforts are structured as a response to crisis after it has developed. The Transition Assistance Program (TAP) focuses on employment, benefits, and financial planning. It does not address the nervous system event of separation at all.</w:t>
      </w:r>
    </w:p>
    <w:p>
      <w:pPr>
        <w:spacing w:after="80" w:before="60"/>
        <w:jc w:val="left"/>
      </w:pPr>
      <w:r>
        <w:rPr>
          <w:rFonts w:ascii="Arial" w:cs="Arial" w:eastAsia="Arial" w:hAnsi="Arial"/>
          <w:b w:val="false"/>
          <w:bCs w:val="false"/>
          <w:i w:val="false"/>
          <w:iCs w:val="false"/>
          <w:color w:val="3A3A3A"/>
          <w:sz w:val="22"/>
          <w:szCs w:val="22"/>
        </w:rPr>
        <w:t xml:space="preserve">The research from the American Enterprise Institute identifies the first two years after leaving active duty as the critical intervention window — when mentoring and structured support can significantly ease the transition process. That window is currently being used to teach resume writing.</w:t>
      </w:r>
    </w:p>
    <w:p>
      <w:pPr>
        <w:spacing w:after="80" w:before="60"/>
        <w:jc w:val="left"/>
      </w:pPr>
      <w:r>
        <w:rPr>
          <w:rFonts w:ascii="Arial" w:cs="Arial" w:eastAsia="Arial" w:hAnsi="Arial"/>
          <w:b w:val="false"/>
          <w:bCs w:val="false"/>
          <w:i w:val="false"/>
          <w:iCs w:val="false"/>
          <w:color w:val="3A3A3A"/>
          <w:sz w:val="22"/>
          <w:szCs w:val="22"/>
        </w:rPr>
        <w:t xml:space="preserve">What it should be used for — what the data demands it be used for — is nervous system psychoeducation. Teaching separating service members what their wiring is, why it was built that way, what it will do in civilian environments, and how to recognize when it is producing outcomes they do not want.</w:t>
      </w:r>
    </w:p>
    <w:p>
      <w:pPr>
        <w:spacing w:after="80" w:before="60"/>
        <w:jc w:val="left"/>
      </w:pPr>
      <w:r>
        <w:rPr>
          <w:rFonts w:ascii="Arial" w:cs="Arial" w:eastAsia="Arial" w:hAnsi="Arial"/>
          <w:b/>
          <w:bCs/>
          <w:i w:val="false"/>
          <w:iCs w:val="false"/>
          <w:color w:val="3A3A3A"/>
          <w:sz w:val="22"/>
          <w:szCs w:val="22"/>
        </w:rPr>
        <w:t xml:space="preserve">That is not therapy. It does not require a clinical license. It requires a curriculum and a peer facilitator who has been through the same transition.</w:t>
      </w:r>
    </w:p>
    <w:p>
      <w:pPr>
        <w:spacing w:after="100" w:before="320"/>
      </w:pPr>
      <w:r>
        <w:rPr>
          <w:rFonts w:ascii="Arial" w:cs="Arial" w:eastAsia="Arial" w:hAnsi="Arial"/>
          <w:b/>
          <w:bCs/>
          <w:color w:val="C4602A"/>
          <w:sz w:val="26"/>
          <w:szCs w:val="26"/>
        </w:rPr>
        <w:t xml:space="preserve">Moral Injury: The Factor the VA Flagged and Has Not Solved</w:t>
      </w:r>
    </w:p>
    <w:p>
      <w:pPr>
        <w:spacing w:after="80" w:before="60"/>
        <w:jc w:val="left"/>
      </w:pPr>
      <w:r>
        <w:rPr>
          <w:rFonts w:ascii="Arial" w:cs="Arial" w:eastAsia="Arial" w:hAnsi="Arial"/>
          <w:b w:val="false"/>
          <w:bCs w:val="false"/>
          <w:i w:val="false"/>
          <w:iCs w:val="false"/>
          <w:color w:val="3A3A3A"/>
          <w:sz w:val="22"/>
          <w:szCs w:val="22"/>
        </w:rPr>
        <w:t xml:space="preserve">The VA's own 2024 Annual Report explicitly identified moral injury as an area requiring more attention, noting that veterans with moral injury have higher rates of suicide — possibly related to shame, guilt, and perceived self-worth.</w:t>
      </w:r>
    </w:p>
    <w:p>
      <w:pPr>
        <w:spacing w:after="80" w:before="60"/>
        <w:jc w:val="left"/>
      </w:pPr>
      <w:r>
        <w:rPr>
          <w:rFonts w:ascii="Arial" w:cs="Arial" w:eastAsia="Arial" w:hAnsi="Arial"/>
          <w:b w:val="false"/>
          <w:bCs w:val="false"/>
          <w:i w:val="false"/>
          <w:iCs w:val="false"/>
          <w:color w:val="3A3A3A"/>
          <w:sz w:val="22"/>
          <w:szCs w:val="22"/>
        </w:rPr>
        <w:t xml:space="preserve">Moral injury is clinically distinct from PTSD. PTSD is fear-based — the nervous system is responding to threat. Moral injury is shame-based — the person has done, witnessed, or failed to prevent something that violated their own moral code. It produces a specific suicide risk profile: perceived burdensomeness, thwarted belonging, and a deep conviction that one's existence causes harm to others.</w:t>
      </w:r>
    </w:p>
    <w:p>
      <w:pPr>
        <w:spacing w:after="80" w:before="60"/>
        <w:jc w:val="left"/>
      </w:pPr>
      <w:r>
        <w:rPr>
          <w:rFonts w:ascii="Arial" w:cs="Arial" w:eastAsia="Arial" w:hAnsi="Arial"/>
          <w:b w:val="false"/>
          <w:bCs w:val="false"/>
          <w:i w:val="false"/>
          <w:iCs w:val="false"/>
          <w:color w:val="3A3A3A"/>
          <w:sz w:val="22"/>
          <w:szCs w:val="22"/>
        </w:rPr>
        <w:t xml:space="preserve">Existing clinical models have limited tools for moral injury because it does not respond to the same interventions as PTSD. Exposure therapy addresses fear. It does not address shame.</w:t>
      </w:r>
    </w:p>
    <w:p>
      <w:pPr>
        <w:spacing w:after="80" w:before="60"/>
        <w:jc w:val="left"/>
      </w:pPr>
      <w:r>
        <w:rPr>
          <w:rFonts w:ascii="Arial" w:cs="Arial" w:eastAsia="Arial" w:hAnsi="Arial"/>
          <w:b w:val="false"/>
          <w:bCs w:val="false"/>
          <w:i w:val="false"/>
          <w:iCs w:val="false"/>
          <w:color w:val="3A3A3A"/>
          <w:sz w:val="22"/>
          <w:szCs w:val="22"/>
        </w:rPr>
        <w:t xml:space="preserve">A curriculum built around the distinction between shame and responsibility — which names the difference between what happened to you and what you are — directly addresses moral injury without requiring the clinical infrastructure that PTSD treatment demands.</w:t>
      </w:r>
    </w:p>
    <w:p>
      <w:r>
        <w:br w:type="page"/>
      </w:r>
    </w:p>
    <w:p>
      <w:pPr>
        <w:spacing w:after="120" w:before="480"/>
      </w:pPr>
      <w:r>
        <w:rPr>
          <w:rFonts w:ascii="Arial" w:cs="Arial" w:eastAsia="Arial" w:hAnsi="Arial"/>
          <w:b/>
          <w:bCs/>
          <w:color w:val="1A1A1A"/>
          <w:sz w:val="32"/>
          <w:szCs w:val="32"/>
        </w:rPr>
        <w:t xml:space="preserve">Section 3: Why Clinical Delivery Cannot Close This Gap</w:t>
      </w:r>
    </w:p>
    <w:p>
      <w:pPr>
        <w:pBdr>
          <w:bottom w:val="single" w:color="D0C8C0" w:sz="4" w:space="1"/>
        </w:pBdr>
        <w:spacing w:after="160" w:before="160"/>
      </w:pPr>
    </w:p>
    <w:p>
      <w:pPr>
        <w:spacing w:after="100" w:before="320"/>
      </w:pPr>
      <w:r>
        <w:rPr>
          <w:rFonts w:ascii="Arial" w:cs="Arial" w:eastAsia="Arial" w:hAnsi="Arial"/>
          <w:b/>
          <w:bCs/>
          <w:color w:val="C4602A"/>
          <w:sz w:val="26"/>
          <w:szCs w:val="26"/>
        </w:rPr>
        <w:t xml:space="preserve">The Reach Problem</w:t>
      </w:r>
    </w:p>
    <w:p>
      <w:pPr>
        <w:spacing w:after="80" w:before="60"/>
        <w:jc w:val="left"/>
      </w:pPr>
      <w:r>
        <w:rPr>
          <w:rFonts w:ascii="Arial" w:cs="Arial" w:eastAsia="Arial" w:hAnsi="Arial"/>
          <w:b w:val="false"/>
          <w:bCs w:val="false"/>
          <w:i w:val="false"/>
          <w:iCs w:val="false"/>
          <w:color w:val="3A3A3A"/>
          <w:sz w:val="22"/>
          <w:szCs w:val="22"/>
        </w:rPr>
        <w:t xml:space="preserve">The VA employs approximately 20,000 mental health clinicians. There are approximately 18.5 million veterans in the United States. Even with perfect access, the math does not work.</w:t>
      </w:r>
    </w:p>
    <w:p>
      <w:pPr>
        <w:spacing w:after="80" w:before="60"/>
        <w:jc w:val="left"/>
      </w:pPr>
      <w:r>
        <w:rPr>
          <w:rFonts w:ascii="Arial" w:cs="Arial" w:eastAsia="Arial" w:hAnsi="Arial"/>
          <w:b w:val="false"/>
          <w:bCs w:val="false"/>
          <w:i w:val="false"/>
          <w:iCs w:val="false"/>
          <w:color w:val="3A3A3A"/>
          <w:sz w:val="22"/>
          <w:szCs w:val="22"/>
        </w:rPr>
        <w:t xml:space="preserve">But access is not perfect. Nearly 45% of veterans experience delays or postponements in VA healthcare. Mental health wait times for new patients average 53 days. The veterans most at risk — those not enrolled in VHA, those in rural areas, those in corrections or reentry — are the furthest from clinical reach.</w:t>
      </w:r>
    </w:p>
    <w:p>
      <w:pPr>
        <w:spacing w:after="80" w:before="60"/>
        <w:jc w:val="left"/>
      </w:pPr>
      <w:r>
        <w:rPr>
          <w:rFonts w:ascii="Arial" w:cs="Arial" w:eastAsia="Arial" w:hAnsi="Arial"/>
          <w:b w:val="false"/>
          <w:bCs w:val="false"/>
          <w:i w:val="false"/>
          <w:iCs w:val="false"/>
          <w:color w:val="3A3A3A"/>
          <w:sz w:val="22"/>
          <w:szCs w:val="22"/>
        </w:rPr>
        <w:t xml:space="preserve">More critically: the veterans most likely to die by suicide are the least likely to self-identify as needing mental health services. Military culture explicitly pathologizes help-seeking. A man who spent four years being told that psychological weakness is a liability does not walk into a VA clinic and say he is struggling. He goes to work. He drinks. He isolates. He maintains the exterior until the exterior fails.</w:t>
      </w:r>
    </w:p>
    <w:p>
      <w:pPr>
        <w:spacing w:after="100" w:before="320"/>
      </w:pPr>
      <w:r>
        <w:rPr>
          <w:rFonts w:ascii="Arial" w:cs="Arial" w:eastAsia="Arial" w:hAnsi="Arial"/>
          <w:b/>
          <w:bCs/>
          <w:color w:val="C4602A"/>
          <w:sz w:val="26"/>
          <w:szCs w:val="26"/>
        </w:rPr>
        <w:t xml:space="preserve">The Language Problem</w:t>
      </w:r>
    </w:p>
    <w:p>
      <w:pPr>
        <w:spacing w:after="80" w:before="60"/>
        <w:jc w:val="left"/>
      </w:pPr>
      <w:r>
        <w:rPr>
          <w:rFonts w:ascii="Arial" w:cs="Arial" w:eastAsia="Arial" w:hAnsi="Arial"/>
          <w:b w:val="false"/>
          <w:bCs w:val="false"/>
          <w:i w:val="false"/>
          <w:iCs w:val="false"/>
          <w:color w:val="3A3A3A"/>
          <w:sz w:val="22"/>
          <w:szCs w:val="22"/>
        </w:rPr>
        <w:t xml:space="preserve">Clinical delivery speaks clinical language. Diagnoses, disorders, symptom clusters, treatment protocols. For a population trained to see psychological terminology as weakness, that language is a barrier before the first session begins.</w:t>
      </w:r>
    </w:p>
    <w:p>
      <w:pPr>
        <w:spacing w:after="80" w:before="60"/>
        <w:jc w:val="left"/>
      </w:pPr>
      <w:r>
        <w:rPr>
          <w:rFonts w:ascii="Arial" w:cs="Arial" w:eastAsia="Arial" w:hAnsi="Arial"/>
          <w:b w:val="false"/>
          <w:bCs w:val="false"/>
          <w:i w:val="false"/>
          <w:iCs w:val="false"/>
          <w:color w:val="3A3A3A"/>
          <w:sz w:val="22"/>
          <w:szCs w:val="22"/>
        </w:rPr>
        <w:t xml:space="preserve">The veteran sitting in a VA waiting room with a PTSD diagnosis is not thinking about his symptom clusters. He is thinking about the fact that he cannot sleep, that his wife is leaving, that he cannot hold a job, that he does not know why he is the way he is, and that nobody around him seems to understand what it cost to be what the military made him.</w:t>
      </w:r>
    </w:p>
    <w:p>
      <w:pPr>
        <w:spacing w:after="80" w:before="60"/>
        <w:jc w:val="left"/>
      </w:pPr>
      <w:r>
        <w:rPr>
          <w:rFonts w:ascii="Arial" w:cs="Arial" w:eastAsia="Arial" w:hAnsi="Arial"/>
          <w:b w:val="false"/>
          <w:bCs w:val="false"/>
          <w:i w:val="false"/>
          <w:iCs w:val="false"/>
          <w:color w:val="3A3A3A"/>
          <w:sz w:val="22"/>
          <w:szCs w:val="22"/>
        </w:rPr>
        <w:t xml:space="preserve">What reaches that person is not a clinical framework. It is a story that sounds like his story, delivered by someone who has been where he is, that names the mechanism in language he already uses.</w:t>
      </w:r>
    </w:p>
    <w:p>
      <w:pPr>
        <w:spacing w:after="80" w:before="60"/>
        <w:jc w:val="left"/>
      </w:pPr>
      <w:r>
        <w:rPr>
          <w:rFonts w:ascii="Arial" w:cs="Arial" w:eastAsia="Arial" w:hAnsi="Arial"/>
          <w:b/>
          <w:bCs/>
          <w:i w:val="false"/>
          <w:iCs w:val="false"/>
          <w:color w:val="3A3A3A"/>
          <w:sz w:val="22"/>
          <w:szCs w:val="22"/>
        </w:rPr>
        <w:t xml:space="preserve">That is the peer facilitator model. That is the case study methodology. That is the delivery innovation that $19 billion has not purchased.</w:t>
      </w:r>
    </w:p>
    <w:p>
      <w:pPr>
        <w:spacing w:after="100" w:before="320"/>
      </w:pPr>
      <w:r>
        <w:rPr>
          <w:rFonts w:ascii="Arial" w:cs="Arial" w:eastAsia="Arial" w:hAnsi="Arial"/>
          <w:b/>
          <w:bCs/>
          <w:color w:val="C4602A"/>
          <w:sz w:val="26"/>
          <w:szCs w:val="26"/>
        </w:rPr>
        <w:t xml:space="preserve">The Evidence for Peer Delivery</w:t>
      </w:r>
    </w:p>
    <w:p>
      <w:pPr>
        <w:spacing w:after="80" w:before="60"/>
        <w:jc w:val="left"/>
      </w:pPr>
      <w:r>
        <w:rPr>
          <w:rFonts w:ascii="Arial" w:cs="Arial" w:eastAsia="Arial" w:hAnsi="Arial"/>
          <w:b w:val="false"/>
          <w:bCs w:val="false"/>
          <w:i w:val="false"/>
          <w:iCs w:val="false"/>
          <w:color w:val="3A3A3A"/>
          <w:sz w:val="22"/>
          <w:szCs w:val="22"/>
        </w:rPr>
        <w:t xml:space="preserve">The research on peer support in trauma populations is consistent:</w:t>
      </w:r>
    </w:p>
    <w:p>
      <w:pPr>
        <w:pStyle w:val="ListParagraph"/>
        <w:numPr>
          <w:ilvl w:val="0"/>
          <w:numId w:val="2"/>
        </w:numPr>
        <w:spacing w:after="40" w:before="40"/>
      </w:pPr>
      <w:r>
        <w:rPr>
          <w:rFonts w:ascii="Arial" w:cs="Arial" w:eastAsia="Arial" w:hAnsi="Arial"/>
          <w:color w:val="3A3A3A"/>
          <w:sz w:val="22"/>
          <w:szCs w:val="22"/>
        </w:rPr>
        <w:t xml:space="preserve">Peer-delivered interventions produce higher engagement and retention rates than clinician-delivered interventions in trauma populations</w:t>
      </w:r>
    </w:p>
    <w:p>
      <w:pPr>
        <w:pStyle w:val="ListParagraph"/>
        <w:numPr>
          <w:ilvl w:val="0"/>
          <w:numId w:val="2"/>
        </w:numPr>
        <w:spacing w:after="40" w:before="40"/>
      </w:pPr>
      <w:r>
        <w:rPr>
          <w:rFonts w:ascii="Arial" w:cs="Arial" w:eastAsia="Arial" w:hAnsi="Arial"/>
          <w:color w:val="3A3A3A"/>
          <w:sz w:val="22"/>
          <w:szCs w:val="22"/>
        </w:rPr>
        <w:t xml:space="preserve">Veterans specifically report higher trust in peer support specialists with lived military experience than in clinical providers without it</w:t>
      </w:r>
    </w:p>
    <w:p>
      <w:pPr>
        <w:pStyle w:val="ListParagraph"/>
        <w:numPr>
          <w:ilvl w:val="0"/>
          <w:numId w:val="2"/>
        </w:numPr>
        <w:spacing w:after="40" w:before="40"/>
      </w:pPr>
      <w:r>
        <w:rPr>
          <w:rFonts w:ascii="Arial" w:cs="Arial" w:eastAsia="Arial" w:hAnsi="Arial"/>
          <w:color w:val="3A3A3A"/>
          <w:sz w:val="22"/>
          <w:szCs w:val="22"/>
        </w:rPr>
        <w:t xml:space="preserve">SAMHSA identifies peer support as an evidence-based practice for mental health and substance use recovery</w:t>
      </w:r>
    </w:p>
    <w:p>
      <w:pPr>
        <w:pStyle w:val="ListParagraph"/>
        <w:numPr>
          <w:ilvl w:val="0"/>
          <w:numId w:val="2"/>
        </w:numPr>
        <w:spacing w:after="40" w:before="40"/>
      </w:pPr>
      <w:r>
        <w:rPr>
          <w:rFonts w:ascii="Arial" w:cs="Arial" w:eastAsia="Arial" w:hAnsi="Arial"/>
          <w:color w:val="3A3A3A"/>
          <w:sz w:val="22"/>
          <w:szCs w:val="22"/>
        </w:rPr>
        <w:t xml:space="preserve">The VA's own Community-Based Outpatient Clinics use peer support specialists as a core service — acknowledging the reach gap that licensed staff cannot fill</w:t>
      </w:r>
    </w:p>
    <w:p>
      <w:pPr>
        <w:spacing w:after="0" w:before="120"/>
      </w:pPr>
      <w:r>
        <w:t xml:space="preserve"/>
      </w:r>
    </w:p>
    <w:p>
      <w:pPr>
        <w:spacing w:after="80" w:before="60"/>
        <w:jc w:val="left"/>
      </w:pPr>
      <w:r>
        <w:rPr>
          <w:rFonts w:ascii="Arial" w:cs="Arial" w:eastAsia="Arial" w:hAnsi="Arial"/>
          <w:b w:val="false"/>
          <w:bCs w:val="false"/>
          <w:i w:val="false"/>
          <w:iCs w:val="false"/>
          <w:color w:val="3A3A3A"/>
          <w:sz w:val="22"/>
          <w:szCs w:val="22"/>
        </w:rPr>
        <w:t xml:space="preserve">The innovation is not peer support itself. The innovation is a fully scripted, clinically grounded, 18-session curriculum that a peer facilitator can deliver without improvisation, without clinical training, and without the institutional infrastructure that keeps existing programs locked inside VA facilities.</w:t>
      </w:r>
    </w:p>
    <w:p>
      <w:r>
        <w:br w:type="page"/>
      </w:r>
    </w:p>
    <w:p>
      <w:pPr>
        <w:spacing w:after="120" w:before="480"/>
      </w:pPr>
      <w:r>
        <w:rPr>
          <w:rFonts w:ascii="Arial" w:cs="Arial" w:eastAsia="Arial" w:hAnsi="Arial"/>
          <w:b/>
          <w:bCs/>
          <w:color w:val="1A1A1A"/>
          <w:sz w:val="32"/>
          <w:szCs w:val="32"/>
        </w:rPr>
        <w:t xml:space="preserve">Section 4: CPTSD and Veterans — The Mechanism That Connects Them</w:t>
      </w:r>
    </w:p>
    <w:p>
      <w:pPr>
        <w:pBdr>
          <w:bottom w:val="single" w:color="D0C8C0" w:sz="4" w:space="1"/>
        </w:pBdr>
        <w:spacing w:after="160" w:before="160"/>
      </w:pPr>
    </w:p>
    <w:p>
      <w:pPr>
        <w:spacing w:after="100" w:before="320"/>
      </w:pPr>
      <w:r>
        <w:rPr>
          <w:rFonts w:ascii="Arial" w:cs="Arial" w:eastAsia="Arial" w:hAnsi="Arial"/>
          <w:b/>
          <w:bCs/>
          <w:color w:val="C4602A"/>
          <w:sz w:val="26"/>
          <w:szCs w:val="26"/>
        </w:rPr>
        <w:t xml:space="preserve">What the Research Shows</w:t>
      </w:r>
    </w:p>
    <w:p>
      <w:pPr>
        <w:spacing w:after="80" w:before="60"/>
        <w:jc w:val="left"/>
      </w:pPr>
      <w:r>
        <w:rPr>
          <w:rFonts w:ascii="Arial" w:cs="Arial" w:eastAsia="Arial" w:hAnsi="Arial"/>
          <w:b w:val="false"/>
          <w:bCs w:val="false"/>
          <w:i w:val="false"/>
          <w:iCs w:val="false"/>
          <w:color w:val="3A3A3A"/>
          <w:sz w:val="22"/>
          <w:szCs w:val="22"/>
        </w:rPr>
        <w:t xml:space="preserve">Complex Post-Traumatic Stress Disorder carries a higher suicide risk than PTSD alone. The research is now clear on this:</w:t>
      </w:r>
    </w:p>
    <w:p>
      <w:pPr>
        <w:pStyle w:val="ListParagraph"/>
        <w:numPr>
          <w:ilvl w:val="0"/>
          <w:numId w:val="2"/>
        </w:numPr>
        <w:spacing w:after="40" w:before="40"/>
      </w:pPr>
      <w:r>
        <w:rPr>
          <w:rFonts w:ascii="Arial" w:cs="Arial" w:eastAsia="Arial" w:hAnsi="Arial"/>
          <w:color w:val="3A3A3A"/>
          <w:sz w:val="22"/>
          <w:szCs w:val="22"/>
        </w:rPr>
        <w:t xml:space="preserve">Patients with CPTSD experience more severe symptoms across all clinical outcomes compared to PTSD patients (p &lt; 0.001)</w:t>
      </w:r>
    </w:p>
    <w:p>
      <w:pPr>
        <w:pStyle w:val="ListParagraph"/>
        <w:numPr>
          <w:ilvl w:val="0"/>
          <w:numId w:val="2"/>
        </w:numPr>
        <w:spacing w:after="40" w:before="40"/>
      </w:pPr>
      <w:r>
        <w:rPr>
          <w:rFonts w:ascii="Arial" w:cs="Arial" w:eastAsia="Arial" w:hAnsi="Arial"/>
          <w:color w:val="3A3A3A"/>
          <w:sz w:val="22"/>
          <w:szCs w:val="22"/>
        </w:rPr>
        <w:t xml:space="preserve">In CPTSD, hopelessness is directly driven by post-traumatic symptomatology — not mediated through depression the way it is in PTSD. The trauma generates hopelessness without the buffer</w:t>
      </w:r>
    </w:p>
    <w:p>
      <w:pPr>
        <w:pStyle w:val="ListParagraph"/>
        <w:numPr>
          <w:ilvl w:val="0"/>
          <w:numId w:val="2"/>
        </w:numPr>
        <w:spacing w:after="40" w:before="40"/>
      </w:pPr>
      <w:r>
        <w:rPr>
          <w:rFonts w:ascii="Arial" w:cs="Arial" w:eastAsia="Arial" w:hAnsi="Arial"/>
          <w:color w:val="3A3A3A"/>
          <w:sz w:val="22"/>
          <w:szCs w:val="22"/>
        </w:rPr>
        <w:t xml:space="preserve">PTSD alone was not linked to suicidality in adults with childhood maltreatment in a multinational study — CPTSD was</w:t>
      </w:r>
    </w:p>
    <w:p>
      <w:pPr>
        <w:pStyle w:val="ListParagraph"/>
        <w:numPr>
          <w:ilvl w:val="0"/>
          <w:numId w:val="2"/>
        </w:numPr>
        <w:spacing w:after="40" w:before="40"/>
      </w:pPr>
      <w:r>
        <w:rPr>
          <w:rFonts w:ascii="Arial" w:cs="Arial" w:eastAsia="Arial" w:hAnsi="Arial"/>
          <w:color w:val="3A3A3A"/>
          <w:sz w:val="22"/>
          <w:szCs w:val="22"/>
        </w:rPr>
        <w:t xml:space="preserve">27% of people diagnosed with PTSD have attempted suicide — compared to 4.6% lifetime prevalence in the general population</w:t>
      </w:r>
    </w:p>
    <w:p>
      <w:pPr>
        <w:pStyle w:val="ListParagraph"/>
        <w:numPr>
          <w:ilvl w:val="0"/>
          <w:numId w:val="2"/>
        </w:numPr>
        <w:spacing w:after="40" w:before="40"/>
      </w:pPr>
      <w:r>
        <w:rPr>
          <w:rFonts w:ascii="Arial" w:cs="Arial" w:eastAsia="Arial" w:hAnsi="Arial"/>
          <w:color w:val="3A3A3A"/>
          <w:sz w:val="22"/>
          <w:szCs w:val="22"/>
        </w:rPr>
        <w:t xml:space="preserve">Patients with PTSD are 3 to 7 times more likely to die by suicide than patients without PTSD, even after adjusting for comorbidities</w:t>
      </w:r>
    </w:p>
    <w:p>
      <w:pPr>
        <w:spacing w:after="0" w:before="120"/>
      </w:pPr>
      <w:r>
        <w:t xml:space="preserve"/>
      </w:r>
    </w:p>
    <w:p>
      <w:pPr>
        <w:spacing w:after="80" w:before="60"/>
        <w:jc w:val="left"/>
      </w:pPr>
      <w:r>
        <w:rPr>
          <w:rFonts w:ascii="Arial" w:cs="Arial" w:eastAsia="Arial" w:hAnsi="Arial"/>
          <w:b w:val="false"/>
          <w:bCs w:val="false"/>
          <w:i w:val="false"/>
          <w:iCs w:val="false"/>
          <w:color w:val="3A3A3A"/>
          <w:sz w:val="22"/>
          <w:szCs w:val="22"/>
        </w:rPr>
        <w:t xml:space="preserve">The disturbances in self-organization that define CPTSD — affective dysregulation, negative self-concept, and disturbed relationships — are the key drivers of suicide risk. These are not symptoms that appear after the trauma. They are the structural changes the nervous system makes in response to repeated, inescapable threat over time.</w:t>
      </w:r>
    </w:p>
    <w:p>
      <w:pPr>
        <w:spacing w:after="80" w:before="60"/>
        <w:jc w:val="left"/>
      </w:pPr>
      <w:r>
        <w:rPr>
          <w:rFonts w:ascii="Arial" w:cs="Arial" w:eastAsia="Arial" w:hAnsi="Arial"/>
          <w:b w:val="false"/>
          <w:bCs w:val="false"/>
          <w:i w:val="false"/>
          <w:iCs w:val="false"/>
          <w:color w:val="3A3A3A"/>
          <w:sz w:val="22"/>
          <w:szCs w:val="22"/>
        </w:rPr>
        <w:t xml:space="preserve">They are also, precisely, the changes that military training and combat exposure produce.</w:t>
      </w:r>
    </w:p>
    <w:p>
      <w:pPr>
        <w:spacing w:after="100" w:before="320"/>
      </w:pPr>
      <w:r>
        <w:rPr>
          <w:rFonts w:ascii="Arial" w:cs="Arial" w:eastAsia="Arial" w:hAnsi="Arial"/>
          <w:b/>
          <w:bCs/>
          <w:color w:val="C4602A"/>
          <w:sz w:val="26"/>
          <w:szCs w:val="26"/>
        </w:rPr>
        <w:t xml:space="preserve">The Shared Profile</w:t>
      </w:r>
    </w:p>
    <w:p>
      <w:pPr>
        <w:spacing w:after="80" w:before="60"/>
        <w:jc w:val="left"/>
      </w:pPr>
      <w:r>
        <w:rPr>
          <w:rFonts w:ascii="Arial" w:cs="Arial" w:eastAsia="Arial" w:hAnsi="Arial"/>
          <w:b w:val="false"/>
          <w:bCs w:val="false"/>
          <w:i w:val="false"/>
          <w:iCs w:val="false"/>
          <w:color w:val="3A3A3A"/>
          <w:sz w:val="22"/>
          <w:szCs w:val="22"/>
        </w:rPr>
        <w:t xml:space="preserve">When veteran suicide data and CPTSD research are placed side by side, the profile is nearly identical: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r>
              <w:rPr>
                <w:rFonts w:ascii="Arial" w:cs="Arial" w:eastAsia="Arial" w:hAnsi="Arial"/>
                <w:b/>
                <w:bCs/>
                <w:color w:val="C4602A"/>
                <w:sz w:val="22"/>
                <w:szCs w:val="22"/>
              </w:rPr>
              <w:t xml:space="preserve">Veteran Suicide Profile</w:t>
            </w:r>
          </w:p>
        </w:tc>
        <w:tc>
          <w:tcPr>
            <w:tcW w:type="dxa" w:w="4680"/>
            <w:tcBorders>
              <w:top w:val="single" w:color="D0C8C0" w:sz="1"/>
              <w:left w:val="single" w:color="D0C8C0" w:sz="1"/>
              <w:bottom w:val="single" w:color="D0C8C0" w:sz="1"/>
              <w:right w:val="single" w:color="D0C8C0" w:sz="1"/>
            </w:tcBorders>
            <w:shd w:fill="F0EBE4" w:val="clear"/>
            <w:tcMar>
              <w:top w:type="dxa" w:w="100"/>
              <w:left w:type="dxa" w:w="160"/>
              <w:bottom w:type="dxa" w:w="100"/>
              <w:right w:type="dxa" w:w="160"/>
            </w:tcMar>
          </w:tcPr>
          <w:p>
            <w:r>
              <w:rPr>
                <w:rFonts w:ascii="Arial" w:cs="Arial" w:eastAsia="Arial" w:hAnsi="Arial"/>
                <w:b/>
                <w:bCs/>
                <w:color w:val="C4602A"/>
                <w:sz w:val="22"/>
                <w:szCs w:val="22"/>
              </w:rPr>
              <w:t xml:space="preserve">CPTSD Clinical Profile</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Chronic pain and sleep disruption</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Somatic dysregulation — nervous system running hot</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Relationship breakdown and divorce</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Disturbed relationships — core DSO symptom</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Isolation and withdrawal from civilian life</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Social isolation from impaired emotion recognition</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Hopelessness and perceived burdensomeness</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Hopelessness directly driven by trauma symptomatology</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Substance use as primary coping strategy</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Affect dysregulation managed through external regulation</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High-functioning exterior masking crisis</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Functional freeze — operational presentation with somatic shutdown</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Identity loss after separation</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Negative self-concept — core DSO symptom</w:t>
            </w:r>
          </w:p>
        </w:tc>
      </w:tr>
      <w:tr>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Moral injury and shame</w:t>
            </w:r>
          </w:p>
        </w:tc>
        <w:tc>
          <w:tcPr>
            <w:tcW w:type="dxa" w:w="4680"/>
            <w:tcBorders>
              <w:top w:val="single" w:color="D0C8C0" w:sz="1"/>
              <w:left w:val="single" w:color="D0C8C0" w:sz="1"/>
              <w:bottom w:val="single" w:color="D0C8C0" w:sz="1"/>
              <w:right w:val="single" w:color="D0C8C0" w:sz="1"/>
            </w:tcBorders>
            <w:tcMar>
              <w:top w:type="dxa" w:w="80"/>
              <w:left w:type="dxa" w:w="160"/>
              <w:bottom w:type="dxa" w:w="80"/>
              <w:right w:type="dxa" w:w="160"/>
            </w:tcMar>
          </w:tcPr>
          <w:p>
            <w:r>
              <w:rPr>
                <w:rFonts w:ascii="Arial" w:cs="Arial" w:eastAsia="Arial" w:hAnsi="Arial"/>
                <w:color w:val="3A3A3A"/>
                <w:sz w:val="20"/>
                <w:szCs w:val="20"/>
              </w:rPr>
              <w:t xml:space="preserve">Shame and self-blame as primary drivers of suicidality</w:t>
            </w:r>
          </w:p>
        </w:tc>
      </w:tr>
    </w:tbl>
    <w:p>
      <w:pPr>
        <w:spacing w:after="0" w:before="120"/>
      </w:pPr>
      <w:r>
        <w:t xml:space="preserve"/>
      </w:r>
    </w:p>
    <w:p>
      <w:pPr>
        <w:spacing w:after="80" w:before="60"/>
        <w:jc w:val="left"/>
      </w:pPr>
      <w:r>
        <w:rPr>
          <w:rFonts w:ascii="Arial" w:cs="Arial" w:eastAsia="Arial" w:hAnsi="Arial"/>
          <w:b/>
          <w:bCs/>
          <w:i w:val="false"/>
          <w:iCs w:val="false"/>
          <w:color w:val="3A3A3A"/>
          <w:sz w:val="22"/>
          <w:szCs w:val="22"/>
        </w:rPr>
        <w:t xml:space="preserve">The mechanism is the same. The uniform is different. A curriculum built to address the mechanism — rather than the specific population that presents with it — is transferable across both populations and every population in between.</w:t>
      </w:r>
    </w:p>
    <w:p>
      <w:r>
        <w:br w:type="page"/>
      </w:r>
    </w:p>
    <w:p>
      <w:pPr>
        <w:spacing w:after="120" w:before="480"/>
      </w:pPr>
      <w:r>
        <w:rPr>
          <w:rFonts w:ascii="Arial" w:cs="Arial" w:eastAsia="Arial" w:hAnsi="Arial"/>
          <w:b/>
          <w:bCs/>
          <w:color w:val="1A1A1A"/>
          <w:sz w:val="32"/>
          <w:szCs w:val="32"/>
        </w:rPr>
        <w:t xml:space="preserve">Section 5: The Curriculum</w:t>
      </w:r>
    </w:p>
    <w:p>
      <w:pPr>
        <w:pBdr>
          <w:bottom w:val="single" w:color="D0C8C0" w:sz="4" w:space="1"/>
        </w:pBdr>
        <w:spacing w:after="160" w:before="160"/>
      </w:pPr>
    </w:p>
    <w:p>
      <w:pPr>
        <w:spacing w:after="100" w:before="320"/>
      </w:pPr>
      <w:r>
        <w:rPr>
          <w:rFonts w:ascii="Arial" w:cs="Arial" w:eastAsia="Arial" w:hAnsi="Arial"/>
          <w:b/>
          <w:bCs/>
          <w:color w:val="C4602A"/>
          <w:sz w:val="26"/>
          <w:szCs w:val="26"/>
        </w:rPr>
        <w:t xml:space="preserve">What Really Happened: A Trauma Education Series</w:t>
      </w:r>
    </w:p>
    <w:p>
      <w:pPr>
        <w:spacing w:after="80" w:before="60"/>
        <w:jc w:val="left"/>
      </w:pPr>
      <w:r>
        <w:rPr>
          <w:rFonts w:ascii="Arial" w:cs="Arial" w:eastAsia="Arial" w:hAnsi="Arial"/>
          <w:b w:val="false"/>
          <w:bCs w:val="false"/>
          <w:i w:val="false"/>
          <w:iCs w:val="false"/>
          <w:color w:val="3A3A3A"/>
          <w:sz w:val="22"/>
          <w:szCs w:val="22"/>
        </w:rPr>
        <w:t xml:space="preserve">What Really Happened is an 18-session psychoeducational curriculum built from a single documented case study of complex trauma survival. It is not abstracted theory. It is not a compilation of clinical best practices repackaged for lay delivery. It is a curriculum built from one man's complete trauma history — from NICU wiring through childhood violence, addiction, loss, relationship collapse, and survival — that names the nervous system mechanism behind every behavioral outcome it describes.</w:t>
      </w:r>
    </w:p>
    <w:p>
      <w:pPr>
        <w:spacing w:after="80" w:before="240"/>
      </w:pPr>
      <w:r>
        <w:rPr>
          <w:rFonts w:ascii="Arial" w:cs="Arial" w:eastAsia="Arial" w:hAnsi="Arial"/>
          <w:b/>
          <w:bCs/>
          <w:color w:val="1A1A1A"/>
          <w:sz w:val="22"/>
          <w:szCs w:val="22"/>
        </w:rPr>
        <w:t xml:space="preserve">Design Principles</w:t>
      </w:r>
    </w:p>
    <w:p>
      <w:pPr>
        <w:pStyle w:val="ListParagraph"/>
        <w:numPr>
          <w:ilvl w:val="0"/>
          <w:numId w:val="2"/>
        </w:numPr>
        <w:spacing w:after="40" w:before="40"/>
      </w:pPr>
      <w:r>
        <w:rPr>
          <w:rFonts w:ascii="Arial" w:cs="Arial" w:eastAsia="Arial" w:hAnsi="Arial"/>
          <w:color w:val="3A3A3A"/>
          <w:sz w:val="22"/>
          <w:szCs w:val="22"/>
        </w:rPr>
        <w:t xml:space="preserve">Non-clinical delivery — no clinical license required for facilitation</w:t>
      </w:r>
    </w:p>
    <w:p>
      <w:pPr>
        <w:pStyle w:val="ListParagraph"/>
        <w:numPr>
          <w:ilvl w:val="0"/>
          <w:numId w:val="2"/>
        </w:numPr>
        <w:spacing w:after="40" w:before="40"/>
      </w:pPr>
      <w:r>
        <w:rPr>
          <w:rFonts w:ascii="Arial" w:cs="Arial" w:eastAsia="Arial" w:hAnsi="Arial"/>
          <w:color w:val="3A3A3A"/>
          <w:sz w:val="22"/>
          <w:szCs w:val="22"/>
        </w:rPr>
        <w:t xml:space="preserve">Case study methodology — abstracted clinical concepts are taught through specific, documented human experience</w:t>
      </w:r>
    </w:p>
    <w:p>
      <w:pPr>
        <w:pStyle w:val="ListParagraph"/>
        <w:numPr>
          <w:ilvl w:val="0"/>
          <w:numId w:val="2"/>
        </w:numPr>
        <w:spacing w:after="40" w:before="40"/>
      </w:pPr>
      <w:r>
        <w:rPr>
          <w:rFonts w:ascii="Arial" w:cs="Arial" w:eastAsia="Arial" w:hAnsi="Arial"/>
          <w:color w:val="3A3A3A"/>
          <w:sz w:val="22"/>
          <w:szCs w:val="22"/>
        </w:rPr>
        <w:t xml:space="preserve">Peer facilitator model — delivery by someone with lived experience, not a credentialed outsider</w:t>
      </w:r>
    </w:p>
    <w:p>
      <w:pPr>
        <w:pStyle w:val="ListParagraph"/>
        <w:numPr>
          <w:ilvl w:val="0"/>
          <w:numId w:val="2"/>
        </w:numPr>
        <w:spacing w:after="40" w:before="40"/>
      </w:pPr>
      <w:r>
        <w:rPr>
          <w:rFonts w:ascii="Arial" w:cs="Arial" w:eastAsia="Arial" w:hAnsi="Arial"/>
          <w:color w:val="3A3A3A"/>
          <w:sz w:val="22"/>
          <w:szCs w:val="22"/>
        </w:rPr>
        <w:t xml:space="preserve">Fully scripted — facilitators do not improvise; every session includes complete lecture scripts, discussion prompts, grounding protocols, and crisis management procedures</w:t>
      </w:r>
    </w:p>
    <w:p>
      <w:pPr>
        <w:pStyle w:val="ListParagraph"/>
        <w:numPr>
          <w:ilvl w:val="0"/>
          <w:numId w:val="2"/>
        </w:numPr>
        <w:spacing w:after="40" w:before="40"/>
      </w:pPr>
      <w:r>
        <w:rPr>
          <w:rFonts w:ascii="Arial" w:cs="Arial" w:eastAsia="Arial" w:hAnsi="Arial"/>
          <w:color w:val="3A3A3A"/>
          <w:sz w:val="22"/>
          <w:szCs w:val="22"/>
        </w:rPr>
        <w:t xml:space="preserve">Safety protocol integrated — Session 12 is a 70-minute fully scripted crisis and suicide risk intervention, not a pamphlet</w:t>
      </w:r>
    </w:p>
    <w:p>
      <w:pPr>
        <w:pStyle w:val="ListParagraph"/>
        <w:numPr>
          <w:ilvl w:val="0"/>
          <w:numId w:val="2"/>
        </w:numPr>
        <w:spacing w:after="40" w:before="40"/>
      </w:pPr>
      <w:r>
        <w:rPr>
          <w:rFonts w:ascii="Arial" w:cs="Arial" w:eastAsia="Arial" w:hAnsi="Arial"/>
          <w:color w:val="3A3A3A"/>
          <w:sz w:val="22"/>
          <w:szCs w:val="22"/>
        </w:rPr>
        <w:t xml:space="preserve">Deployable immediately — no infrastructure buildout required; sessions run in any room with chairs</w:t>
      </w:r>
    </w:p>
    <w:p>
      <w:pPr>
        <w:spacing w:after="80" w:before="240"/>
      </w:pPr>
      <w:r>
        <w:rPr>
          <w:rFonts w:ascii="Arial" w:cs="Arial" w:eastAsia="Arial" w:hAnsi="Arial"/>
          <w:b/>
          <w:bCs/>
          <w:color w:val="1A1A1A"/>
          <w:sz w:val="22"/>
          <w:szCs w:val="22"/>
        </w:rPr>
        <w:t xml:space="preserve">Session Architecture — Five-Part Curriculum</w:t>
      </w:r>
    </w:p>
    <w:p>
      <w:pPr>
        <w:pStyle w:val="ListParagraph"/>
        <w:numPr>
          <w:ilvl w:val="0"/>
          <w:numId w:val="2"/>
        </w:numPr>
        <w:spacing w:after="40" w:before="40"/>
      </w:pPr>
      <w:r>
        <w:rPr>
          <w:rFonts w:ascii="Arial" w:cs="Arial" w:eastAsia="Arial" w:hAnsi="Arial"/>
          <w:color w:val="3A3A3A"/>
          <w:sz w:val="22"/>
          <w:szCs w:val="22"/>
        </w:rPr>
        <w:t xml:space="preserve">Part I: How We Got Here — nervous system formation, early wiring, Glass Box Blueprint</w:t>
      </w:r>
    </w:p>
    <w:p>
      <w:pPr>
        <w:pStyle w:val="ListParagraph"/>
        <w:numPr>
          <w:ilvl w:val="0"/>
          <w:numId w:val="2"/>
        </w:numPr>
        <w:spacing w:after="40" w:before="40"/>
      </w:pPr>
      <w:r>
        <w:rPr>
          <w:rFonts w:ascii="Arial" w:cs="Arial" w:eastAsia="Arial" w:hAnsi="Arial"/>
          <w:color w:val="3A3A3A"/>
          <w:sz w:val="22"/>
          <w:szCs w:val="22"/>
        </w:rPr>
        <w:t xml:space="preserve">Part II: The Relationships We Build — attachment, trauma bonds, the all-or-nothing map</w:t>
      </w:r>
    </w:p>
    <w:p>
      <w:pPr>
        <w:pStyle w:val="ListParagraph"/>
        <w:numPr>
          <w:ilvl w:val="0"/>
          <w:numId w:val="2"/>
        </w:numPr>
        <w:spacing w:after="40" w:before="40"/>
      </w:pPr>
      <w:r>
        <w:rPr>
          <w:rFonts w:ascii="Arial" w:cs="Arial" w:eastAsia="Arial" w:hAnsi="Arial"/>
          <w:color w:val="3A3A3A"/>
          <w:sz w:val="22"/>
          <w:szCs w:val="22"/>
        </w:rPr>
        <w:t xml:space="preserve">Part III: The Coping Architecture — productivity as dissociation, functional freeze, grief deferral, the cycle</w:t>
      </w:r>
    </w:p>
    <w:p>
      <w:pPr>
        <w:pStyle w:val="ListParagraph"/>
        <w:numPr>
          <w:ilvl w:val="0"/>
          <w:numId w:val="2"/>
        </w:numPr>
        <w:spacing w:after="40" w:before="40"/>
      </w:pPr>
      <w:r>
        <w:rPr>
          <w:rFonts w:ascii="Arial" w:cs="Arial" w:eastAsia="Arial" w:hAnsi="Arial"/>
          <w:color w:val="3A3A3A"/>
          <w:sz w:val="22"/>
          <w:szCs w:val="22"/>
        </w:rPr>
        <w:t xml:space="preserve">Part IV: The Internal Battlefield — crisis, suicide risk, moral injury, staying alive</w:t>
      </w:r>
    </w:p>
    <w:p>
      <w:pPr>
        <w:pStyle w:val="ListParagraph"/>
        <w:numPr>
          <w:ilvl w:val="0"/>
          <w:numId w:val="2"/>
        </w:numPr>
        <w:spacing w:after="40" w:before="40"/>
      </w:pPr>
      <w:r>
        <w:rPr>
          <w:rFonts w:ascii="Arial" w:cs="Arial" w:eastAsia="Arial" w:hAnsi="Arial"/>
          <w:color w:val="3A3A3A"/>
          <w:sz w:val="22"/>
          <w:szCs w:val="22"/>
        </w:rPr>
        <w:t xml:space="preserve">Part V: The Revolution — systemic change, identity reconstruction, what healing actually looks like</w:t>
      </w:r>
    </w:p>
    <w:p>
      <w:pPr>
        <w:spacing w:after="80" w:before="240"/>
      </w:pPr>
      <w:r>
        <w:rPr>
          <w:rFonts w:ascii="Arial" w:cs="Arial" w:eastAsia="Arial" w:hAnsi="Arial"/>
          <w:b/>
          <w:bCs/>
          <w:color w:val="1A1A1A"/>
          <w:sz w:val="22"/>
          <w:szCs w:val="22"/>
        </w:rPr>
        <w:t xml:space="preserve">Key Sessions Directly Addressing Veteran Suicide Risk Factors</w:t>
      </w:r>
    </w:p>
    <w:p>
      <w:pPr>
        <w:pStyle w:val="ListParagraph"/>
        <w:numPr>
          <w:ilvl w:val="0"/>
          <w:numId w:val="2"/>
        </w:numPr>
        <w:spacing w:after="40" w:before="40"/>
      </w:pPr>
      <w:r>
        <w:rPr>
          <w:rFonts w:ascii="Arial" w:cs="Arial" w:eastAsia="Arial" w:hAnsi="Arial"/>
          <w:color w:val="3A3A3A"/>
          <w:sz w:val="22"/>
          <w:szCs w:val="22"/>
        </w:rPr>
        <w:t xml:space="preserve">Session 06: What Healing Actually Looks Like — cognitive restructuring, all-or-nothing thinking as survival adaptation (Ellis/Beck framework)</w:t>
      </w:r>
    </w:p>
    <w:p>
      <w:pPr>
        <w:pStyle w:val="ListParagraph"/>
        <w:numPr>
          <w:ilvl w:val="0"/>
          <w:numId w:val="2"/>
        </w:numPr>
        <w:spacing w:after="40" w:before="40"/>
      </w:pPr>
      <w:r>
        <w:rPr>
          <w:rFonts w:ascii="Arial" w:cs="Arial" w:eastAsia="Arial" w:hAnsi="Arial"/>
          <w:color w:val="3A3A3A"/>
          <w:sz w:val="22"/>
          <w:szCs w:val="22"/>
        </w:rPr>
        <w:t xml:space="preserve">Session 07.5: Shut Up, I Have Work Tomorrow — productivity as dissociation, functional freeze, grief deferral cycle</w:t>
      </w:r>
    </w:p>
    <w:p>
      <w:pPr>
        <w:pStyle w:val="ListParagraph"/>
        <w:numPr>
          <w:ilvl w:val="0"/>
          <w:numId w:val="2"/>
        </w:numPr>
        <w:spacing w:after="40" w:before="40"/>
      </w:pPr>
      <w:r>
        <w:rPr>
          <w:rFonts w:ascii="Arial" w:cs="Arial" w:eastAsia="Arial" w:hAnsi="Arial"/>
          <w:color w:val="3A3A3A"/>
          <w:sz w:val="22"/>
          <w:szCs w:val="22"/>
        </w:rPr>
        <w:t xml:space="preserve">Session 09: Shame vs. Responsibility — direct moral injury intervention without clinical framing</w:t>
      </w:r>
    </w:p>
    <w:p>
      <w:pPr>
        <w:pStyle w:val="ListParagraph"/>
        <w:numPr>
          <w:ilvl w:val="0"/>
          <w:numId w:val="2"/>
        </w:numPr>
        <w:spacing w:after="40" w:before="40"/>
      </w:pPr>
      <w:r>
        <w:rPr>
          <w:rFonts w:ascii="Arial" w:cs="Arial" w:eastAsia="Arial" w:hAnsi="Arial"/>
          <w:color w:val="3A3A3A"/>
          <w:sz w:val="22"/>
          <w:szCs w:val="22"/>
        </w:rPr>
        <w:t xml:space="preserve">Session 12: Crisis, Suicide Risk, and Staying Alive — fully scripted 70-minute safety protocol, pressure cooker state, means restriction, peer co-regulation</w:t>
      </w:r>
    </w:p>
    <w:p>
      <w:pPr>
        <w:spacing w:after="80" w:before="240"/>
      </w:pPr>
      <w:r>
        <w:rPr>
          <w:rFonts w:ascii="Arial" w:cs="Arial" w:eastAsia="Arial" w:hAnsi="Arial"/>
          <w:b/>
          <w:bCs/>
          <w:color w:val="1A1A1A"/>
          <w:sz w:val="22"/>
          <w:szCs w:val="22"/>
        </w:rPr>
        <w:t xml:space="preserve">Delivery Populations</w:t>
      </w:r>
    </w:p>
    <w:p>
      <w:pPr>
        <w:pStyle w:val="ListParagraph"/>
        <w:numPr>
          <w:ilvl w:val="0"/>
          <w:numId w:val="2"/>
        </w:numPr>
        <w:spacing w:after="40" w:before="40"/>
      </w:pPr>
      <w:r>
        <w:rPr>
          <w:rFonts w:ascii="Arial" w:cs="Arial" w:eastAsia="Arial" w:hAnsi="Arial"/>
          <w:color w:val="3A3A3A"/>
          <w:sz w:val="22"/>
          <w:szCs w:val="22"/>
        </w:rPr>
        <w:t xml:space="preserve">Veteran treatment courts</w:t>
      </w:r>
    </w:p>
    <w:p>
      <w:pPr>
        <w:pStyle w:val="ListParagraph"/>
        <w:numPr>
          <w:ilvl w:val="0"/>
          <w:numId w:val="2"/>
        </w:numPr>
        <w:spacing w:after="40" w:before="40"/>
      </w:pPr>
      <w:r>
        <w:rPr>
          <w:rFonts w:ascii="Arial" w:cs="Arial" w:eastAsia="Arial" w:hAnsi="Arial"/>
          <w:color w:val="3A3A3A"/>
          <w:sz w:val="22"/>
          <w:szCs w:val="22"/>
        </w:rPr>
        <w:t xml:space="preserve">VA community-based outpatient and reentry programs</w:t>
      </w:r>
    </w:p>
    <w:p>
      <w:pPr>
        <w:pStyle w:val="ListParagraph"/>
        <w:numPr>
          <w:ilvl w:val="0"/>
          <w:numId w:val="2"/>
        </w:numPr>
        <w:spacing w:after="40" w:before="40"/>
      </w:pPr>
      <w:r>
        <w:rPr>
          <w:rFonts w:ascii="Arial" w:cs="Arial" w:eastAsia="Arial" w:hAnsi="Arial"/>
          <w:color w:val="3A3A3A"/>
          <w:sz w:val="22"/>
          <w:szCs w:val="22"/>
        </w:rPr>
        <w:t xml:space="preserve">Pre-discharge transition programs (TAP supplement or replacement)</w:t>
      </w:r>
    </w:p>
    <w:p>
      <w:pPr>
        <w:pStyle w:val="ListParagraph"/>
        <w:numPr>
          <w:ilvl w:val="0"/>
          <w:numId w:val="2"/>
        </w:numPr>
        <w:spacing w:after="40" w:before="40"/>
      </w:pPr>
      <w:r>
        <w:rPr>
          <w:rFonts w:ascii="Arial" w:cs="Arial" w:eastAsia="Arial" w:hAnsi="Arial"/>
          <w:color w:val="3A3A3A"/>
          <w:sz w:val="22"/>
          <w:szCs w:val="22"/>
        </w:rPr>
        <w:t xml:space="preserve">Corrections and reentry — veteran and non-veteran populations</w:t>
      </w:r>
    </w:p>
    <w:p>
      <w:pPr>
        <w:pStyle w:val="ListParagraph"/>
        <w:numPr>
          <w:ilvl w:val="0"/>
          <w:numId w:val="2"/>
        </w:numPr>
        <w:spacing w:after="40" w:before="40"/>
      </w:pPr>
      <w:r>
        <w:rPr>
          <w:rFonts w:ascii="Arial" w:cs="Arial" w:eastAsia="Arial" w:hAnsi="Arial"/>
          <w:color w:val="3A3A3A"/>
          <w:sz w:val="22"/>
          <w:szCs w:val="22"/>
        </w:rPr>
        <w:t xml:space="preserve">Drug courts and recovery community organizations</w:t>
      </w:r>
    </w:p>
    <w:p>
      <w:pPr>
        <w:pStyle w:val="ListParagraph"/>
        <w:numPr>
          <w:ilvl w:val="0"/>
          <w:numId w:val="2"/>
        </w:numPr>
        <w:spacing w:after="40" w:before="40"/>
      </w:pPr>
      <w:r>
        <w:rPr>
          <w:rFonts w:ascii="Arial" w:cs="Arial" w:eastAsia="Arial" w:hAnsi="Arial"/>
          <w:color w:val="3A3A3A"/>
          <w:sz w:val="22"/>
          <w:szCs w:val="22"/>
        </w:rPr>
        <w:t xml:space="preserve">Workforce development and community mental health</w:t>
      </w:r>
    </w:p>
    <w:p>
      <w:pPr>
        <w:spacing w:after="100" w:before="320"/>
      </w:pPr>
      <w:r>
        <w:rPr>
          <w:rFonts w:ascii="Arial" w:cs="Arial" w:eastAsia="Arial" w:hAnsi="Arial"/>
          <w:b/>
          <w:bCs/>
          <w:color w:val="C4602A"/>
          <w:sz w:val="26"/>
          <w:szCs w:val="26"/>
        </w:rPr>
        <w:t xml:space="preserve">The Non-Veteran Facilitator as a Feature, Not a Liability</w:t>
      </w:r>
    </w:p>
    <w:p>
      <w:pPr>
        <w:spacing w:after="80" w:before="60"/>
        <w:jc w:val="left"/>
      </w:pPr>
      <w:r>
        <w:rPr>
          <w:rFonts w:ascii="Arial" w:cs="Arial" w:eastAsia="Arial" w:hAnsi="Arial"/>
          <w:b w:val="false"/>
          <w:bCs w:val="false"/>
          <w:i w:val="false"/>
          <w:iCs w:val="false"/>
          <w:color w:val="3A3A3A"/>
          <w:sz w:val="22"/>
          <w:szCs w:val="22"/>
        </w:rPr>
        <w:t xml:space="preserve">The curriculum was built by a civilian with Complex PTSD — not a veteran, not a clinician. This is not a gap in the product's credibility. It is the source of its transferability.</w:t>
      </w:r>
    </w:p>
    <w:p>
      <w:pPr>
        <w:spacing w:after="80" w:before="60"/>
        <w:jc w:val="left"/>
      </w:pPr>
      <w:r>
        <w:rPr>
          <w:rFonts w:ascii="Arial" w:cs="Arial" w:eastAsia="Arial" w:hAnsi="Arial"/>
          <w:b w:val="false"/>
          <w:bCs w:val="false"/>
          <w:i w:val="false"/>
          <w:iCs w:val="false"/>
          <w:color w:val="3A3A3A"/>
          <w:sz w:val="22"/>
          <w:szCs w:val="22"/>
        </w:rPr>
        <w:t xml:space="preserve">The argument is not: I understand veterans because I have CPTSD.</w:t>
      </w:r>
    </w:p>
    <w:p>
      <w:pPr>
        <w:spacing w:after="80" w:before="60"/>
        <w:jc w:val="left"/>
      </w:pPr>
      <w:r>
        <w:rPr>
          <w:rFonts w:ascii="Arial" w:cs="Arial" w:eastAsia="Arial" w:hAnsi="Arial"/>
          <w:b/>
          <w:bCs/>
          <w:i w:val="false"/>
          <w:iCs w:val="false"/>
          <w:color w:val="3A3A3A"/>
          <w:sz w:val="22"/>
          <w:szCs w:val="22"/>
        </w:rPr>
        <w:t xml:space="preserve">The argument is: the mechanism that kills veterans is the same mechanism that nearly killed me. I built a tool that addresses the mechanism — not the uniform. That tool works wherever the mechanism presents.</w:t>
      </w:r>
    </w:p>
    <w:p>
      <w:pPr>
        <w:spacing w:after="80" w:before="60"/>
        <w:jc w:val="left"/>
      </w:pPr>
      <w:r>
        <w:rPr>
          <w:rFonts w:ascii="Arial" w:cs="Arial" w:eastAsia="Arial" w:hAnsi="Arial"/>
          <w:b w:val="false"/>
          <w:bCs w:val="false"/>
          <w:i w:val="false"/>
          <w:iCs w:val="false"/>
          <w:color w:val="3A3A3A"/>
          <w:sz w:val="22"/>
          <w:szCs w:val="22"/>
        </w:rPr>
        <w:t xml:space="preserve">A veteran peer facilitator running this curriculum brings the lived military experience. The curriculum brings the nervous system framework. Together they produce what neither can produce alone: a room where a veteran can finally hear why they are the way they are, in language that does not require them to call themselves broken.</w:t>
      </w:r>
    </w:p>
    <w:p>
      <w:r>
        <w:br w:type="page"/>
      </w:r>
    </w:p>
    <w:p>
      <w:pPr>
        <w:spacing w:after="120" w:before="480"/>
      </w:pPr>
      <w:r>
        <w:rPr>
          <w:rFonts w:ascii="Arial" w:cs="Arial" w:eastAsia="Arial" w:hAnsi="Arial"/>
          <w:b/>
          <w:bCs/>
          <w:color w:val="1A1A1A"/>
          <w:sz w:val="32"/>
          <w:szCs w:val="32"/>
        </w:rPr>
        <w:t xml:space="preserve">Section 6: The Market Case</w:t>
      </w:r>
    </w:p>
    <w:p>
      <w:pPr>
        <w:pBdr>
          <w:bottom w:val="single" w:color="D0C8C0" w:sz="4" w:space="1"/>
        </w:pBdr>
        <w:spacing w:after="160" w:before="160"/>
      </w:pPr>
    </w:p>
    <w:p>
      <w:pPr>
        <w:spacing w:after="100" w:before="320"/>
      </w:pPr>
      <w:r>
        <w:rPr>
          <w:rFonts w:ascii="Arial" w:cs="Arial" w:eastAsia="Arial" w:hAnsi="Arial"/>
          <w:b/>
          <w:bCs/>
          <w:color w:val="C4602A"/>
          <w:sz w:val="26"/>
          <w:szCs w:val="26"/>
        </w:rPr>
        <w:t xml:space="preserve">The Federal Opportunity</w:t>
      </w:r>
    </w:p>
    <w:p>
      <w:pPr>
        <w:spacing w:after="80" w:before="60"/>
        <w:jc w:val="left"/>
      </w:pPr>
      <w:r>
        <w:rPr>
          <w:rFonts w:ascii="Arial" w:cs="Arial" w:eastAsia="Arial" w:hAnsi="Arial"/>
          <w:b w:val="false"/>
          <w:bCs w:val="false"/>
          <w:i w:val="false"/>
          <w:iCs w:val="false"/>
          <w:color w:val="3A3A3A"/>
          <w:sz w:val="22"/>
          <w:szCs w:val="22"/>
        </w:rPr>
        <w:t xml:space="preserve">Capitol Contracts LLC is positioned at the intersection of three underserved federal market needs: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C8C0" w:sz="1"/>
              <w:left w:val="single" w:color="D0C8C0" w:sz="1"/>
              <w:bottom w:val="single" w:color="D0C8C0" w:sz="1"/>
              <w:right w:val="single" w:color="D0C8C0" w:sz="1"/>
            </w:tcBorders>
            <w:shd w:fill="F0EBE4" w:val="clear"/>
            <w:tcMar>
              <w:top w:type="dxa" w:w="120"/>
              <w:left w:type="dxa" w:w="160"/>
              <w:bottom w:type="dxa" w:w="120"/>
              <w:right w:type="dxa" w:w="160"/>
            </w:tcMar>
          </w:tcPr>
          <w:p>
            <w:r>
              <w:rPr>
                <w:rFonts w:ascii="Arial" w:cs="Arial" w:eastAsia="Arial" w:hAnsi="Arial"/>
                <w:b/>
                <w:bCs/>
                <w:color w:val="C4602A"/>
                <w:sz w:val="22"/>
                <w:szCs w:val="22"/>
              </w:rPr>
              <w:t xml:space="preserve">VA / VHA</w:t>
            </w:r>
          </w:p>
          <w:p>
            <w:pPr>
              <w:spacing w:before="60"/>
            </w:pPr>
            <w:r>
              <w:rPr>
                <w:rFonts w:ascii="Arial" w:cs="Arial" w:eastAsia="Arial" w:hAnsi="Arial"/>
                <w:color w:val="3A3A3A"/>
                <w:sz w:val="20"/>
                <w:szCs w:val="20"/>
              </w:rPr>
              <w:t xml:space="preserve">Community-based outpatient and reentry program psychoeducation. Non-clinical delivery fills the licensed staff gap.</w:t>
            </w:r>
          </w:p>
        </w:tc>
        <w:tc>
          <w:tcPr>
            <w:tcW w:type="dxa" w:w="3120"/>
            <w:tcBorders>
              <w:top w:val="single" w:color="D0C8C0" w:sz="1"/>
              <w:left w:val="single" w:color="D0C8C0" w:sz="1"/>
              <w:bottom w:val="single" w:color="D0C8C0" w:sz="1"/>
              <w:right w:val="single" w:color="D0C8C0" w:sz="1"/>
            </w:tcBorders>
            <w:shd w:fill="F0EBE4" w:val="clear"/>
            <w:tcMar>
              <w:top w:type="dxa" w:w="120"/>
              <w:left w:type="dxa" w:w="160"/>
              <w:bottom w:type="dxa" w:w="120"/>
              <w:right w:type="dxa" w:w="160"/>
            </w:tcMar>
          </w:tcPr>
          <w:p>
            <w:r>
              <w:rPr>
                <w:rFonts w:ascii="Arial" w:cs="Arial" w:eastAsia="Arial" w:hAnsi="Arial"/>
                <w:b/>
                <w:bCs/>
                <w:color w:val="C4602A"/>
                <w:sz w:val="22"/>
                <w:szCs w:val="22"/>
              </w:rPr>
              <w:t xml:space="preserve">DoD / TAP</w:t>
            </w:r>
          </w:p>
          <w:p>
            <w:pPr>
              <w:spacing w:before="60"/>
            </w:pPr>
            <w:r>
              <w:rPr>
                <w:rFonts w:ascii="Arial" w:cs="Arial" w:eastAsia="Arial" w:hAnsi="Arial"/>
                <w:color w:val="3A3A3A"/>
                <w:sz w:val="20"/>
                <w:szCs w:val="20"/>
              </w:rPr>
              <w:t xml:space="preserve">Pre-discharge transition supplement. Nervous system psychoeducation delivered in the critical window before separation.</w:t>
            </w:r>
          </w:p>
        </w:tc>
        <w:tc>
          <w:tcPr>
            <w:tcW w:type="dxa" w:w="3120"/>
            <w:tcBorders>
              <w:top w:val="single" w:color="D0C8C0" w:sz="1"/>
              <w:left w:val="single" w:color="D0C8C0" w:sz="1"/>
              <w:bottom w:val="single" w:color="D0C8C0" w:sz="1"/>
              <w:right w:val="single" w:color="D0C8C0" w:sz="1"/>
            </w:tcBorders>
            <w:shd w:fill="F0EBE4" w:val="clear"/>
            <w:tcMar>
              <w:top w:type="dxa" w:w="120"/>
              <w:left w:type="dxa" w:w="160"/>
              <w:bottom w:type="dxa" w:w="120"/>
              <w:right w:type="dxa" w:w="160"/>
            </w:tcMar>
          </w:tcPr>
          <w:p>
            <w:r>
              <w:rPr>
                <w:rFonts w:ascii="Arial" w:cs="Arial" w:eastAsia="Arial" w:hAnsi="Arial"/>
                <w:b/>
                <w:bCs/>
                <w:color w:val="C4602A"/>
                <w:sz w:val="22"/>
                <w:szCs w:val="22"/>
              </w:rPr>
              <w:t xml:space="preserve">DOJ / BOP</w:t>
            </w:r>
          </w:p>
          <w:p>
            <w:pPr>
              <w:spacing w:before="60"/>
            </w:pPr>
            <w:r>
              <w:rPr>
                <w:rFonts w:ascii="Arial" w:cs="Arial" w:eastAsia="Arial" w:hAnsi="Arial"/>
                <w:color w:val="3A3A3A"/>
                <w:sz w:val="20"/>
                <w:szCs w:val="20"/>
              </w:rPr>
              <w:t xml:space="preserve">Corrections and reentry trauma education. Veteran population in carceral settings is significantly overrepresented.</w:t>
            </w:r>
          </w:p>
        </w:tc>
      </w:tr>
    </w:tbl>
    <w:p>
      <w:pPr>
        <w:spacing w:after="0" w:before="120"/>
      </w:pPr>
      <w:r>
        <w:t xml:space="preserve"/>
      </w:r>
    </w:p>
    <w:p>
      <w:pPr>
        <w:spacing w:after="100" w:before="320"/>
      </w:pPr>
      <w:r>
        <w:rPr>
          <w:rFonts w:ascii="Arial" w:cs="Arial" w:eastAsia="Arial" w:hAnsi="Arial"/>
          <w:b/>
          <w:bCs/>
          <w:color w:val="C4602A"/>
          <w:sz w:val="26"/>
          <w:szCs w:val="26"/>
        </w:rPr>
        <w:t xml:space="preserve">SDVOSB Competitive Position</w:t>
      </w:r>
    </w:p>
    <w:p>
      <w:pPr>
        <w:spacing w:after="80" w:before="60"/>
        <w:jc w:val="left"/>
      </w:pPr>
      <w:r>
        <w:rPr>
          <w:rFonts w:ascii="Arial" w:cs="Arial" w:eastAsia="Arial" w:hAnsi="Arial"/>
          <w:b w:val="false"/>
          <w:bCs w:val="false"/>
          <w:i w:val="false"/>
          <w:iCs w:val="false"/>
          <w:color w:val="3A3A3A"/>
          <w:sz w:val="22"/>
          <w:szCs w:val="22"/>
        </w:rPr>
        <w:t xml:space="preserve">Federal agencies are legally required to meet SDVOSB contracting goals. Demand for qualified SDVOSB vendors in the mental health and psychoeducation space exceeds current supply. Capitol Contracts LLC holds:</w:t>
      </w:r>
    </w:p>
    <w:p>
      <w:pPr>
        <w:pStyle w:val="ListParagraph"/>
        <w:numPr>
          <w:ilvl w:val="0"/>
          <w:numId w:val="2"/>
        </w:numPr>
        <w:spacing w:after="40" w:before="40"/>
      </w:pPr>
      <w:r>
        <w:rPr>
          <w:rFonts w:ascii="Arial" w:cs="Arial" w:eastAsia="Arial" w:hAnsi="Arial"/>
          <w:color w:val="3A3A3A"/>
          <w:sz w:val="22"/>
          <w:szCs w:val="22"/>
        </w:rPr>
        <w:t xml:space="preserve">Active SAM.gov registration — UEI: HH77KN5AV5X7</w:t>
      </w:r>
    </w:p>
    <w:p>
      <w:pPr>
        <w:pStyle w:val="ListParagraph"/>
        <w:numPr>
          <w:ilvl w:val="0"/>
          <w:numId w:val="2"/>
        </w:numPr>
        <w:spacing w:after="40" w:before="40"/>
      </w:pPr>
      <w:r>
        <w:rPr>
          <w:rFonts w:ascii="Arial" w:cs="Arial" w:eastAsia="Arial" w:hAnsi="Arial"/>
          <w:color w:val="3A3A3A"/>
          <w:sz w:val="22"/>
          <w:szCs w:val="22"/>
        </w:rPr>
        <w:t xml:space="preserve">CAGE Code: 9ZFJ6</w:t>
      </w:r>
    </w:p>
    <w:p>
      <w:pPr>
        <w:pStyle w:val="ListParagraph"/>
        <w:numPr>
          <w:ilvl w:val="0"/>
          <w:numId w:val="2"/>
        </w:numPr>
        <w:spacing w:after="40" w:before="40"/>
      </w:pPr>
      <w:r>
        <w:rPr>
          <w:rFonts w:ascii="Arial" w:cs="Arial" w:eastAsia="Arial" w:hAnsi="Arial"/>
          <w:color w:val="3A3A3A"/>
          <w:sz w:val="22"/>
          <w:szCs w:val="22"/>
        </w:rPr>
        <w:t xml:space="preserve">SDVOSB certification in process — DD-214 submission pending</w:t>
      </w:r>
    </w:p>
    <w:p>
      <w:pPr>
        <w:pStyle w:val="ListParagraph"/>
        <w:numPr>
          <w:ilvl w:val="0"/>
          <w:numId w:val="2"/>
        </w:numPr>
        <w:spacing w:after="40" w:before="40"/>
      </w:pPr>
      <w:r>
        <w:rPr>
          <w:rFonts w:ascii="Arial" w:cs="Arial" w:eastAsia="Arial" w:hAnsi="Arial"/>
          <w:color w:val="3A3A3A"/>
          <w:sz w:val="22"/>
          <w:szCs w:val="22"/>
        </w:rPr>
        <w:t xml:space="preserve">HUBZone eligibility — Clarksville, Arkansas (Johnson County)</w:t>
      </w:r>
    </w:p>
    <w:p>
      <w:pPr>
        <w:pStyle w:val="ListParagraph"/>
        <w:numPr>
          <w:ilvl w:val="0"/>
          <w:numId w:val="2"/>
        </w:numPr>
        <w:spacing w:after="40" w:before="40"/>
      </w:pPr>
      <w:r>
        <w:rPr>
          <w:rFonts w:ascii="Arial" w:cs="Arial" w:eastAsia="Arial" w:hAnsi="Arial"/>
          <w:color w:val="3A3A3A"/>
          <w:sz w:val="22"/>
          <w:szCs w:val="22"/>
        </w:rPr>
        <w:t xml:space="preserve">NAICS: 611710 (primary), 611430, 624190</w:t>
      </w:r>
    </w:p>
    <w:p>
      <w:pPr>
        <w:pStyle w:val="ListParagraph"/>
        <w:numPr>
          <w:ilvl w:val="0"/>
          <w:numId w:val="2"/>
        </w:numPr>
        <w:spacing w:after="40" w:before="40"/>
      </w:pPr>
      <w:r>
        <w:rPr>
          <w:rFonts w:ascii="Arial" w:cs="Arial" w:eastAsia="Arial" w:hAnsi="Arial"/>
          <w:color w:val="3A3A3A"/>
          <w:sz w:val="22"/>
          <w:szCs w:val="22"/>
        </w:rPr>
        <w:t xml:space="preserve">PSC: U009, U099, U093, R699</w:t>
      </w:r>
    </w:p>
    <w:p>
      <w:pPr>
        <w:spacing w:after="0" w:before="120"/>
      </w:pPr>
      <w:r>
        <w:t xml:space="preserve"/>
      </w:r>
    </w:p>
    <w:p>
      <w:pPr>
        <w:spacing w:after="80" w:before="60"/>
        <w:jc w:val="left"/>
      </w:pPr>
      <w:r>
        <w:rPr>
          <w:rFonts w:ascii="Arial" w:cs="Arial" w:eastAsia="Arial" w:hAnsi="Arial"/>
          <w:b/>
          <w:bCs/>
          <w:i w:val="false"/>
          <w:iCs w:val="false"/>
          <w:color w:val="3A3A3A"/>
          <w:sz w:val="22"/>
          <w:szCs w:val="22"/>
        </w:rPr>
        <w:t xml:space="preserve">No competitor currently holds this combination: SDVOSB status, HUBZone rural Arkansas eligibility, a fully built non-clinical trauma curriculum with integrated suicide risk protocol, and a case study methodology that produces measurable participant outcomes.</w:t>
      </w:r>
    </w:p>
    <w:p>
      <w:pPr>
        <w:spacing w:after="100" w:before="320"/>
      </w:pPr>
      <w:r>
        <w:rPr>
          <w:rFonts w:ascii="Arial" w:cs="Arial" w:eastAsia="Arial" w:hAnsi="Arial"/>
          <w:b/>
          <w:bCs/>
          <w:color w:val="C4602A"/>
          <w:sz w:val="26"/>
          <w:szCs w:val="26"/>
        </w:rPr>
        <w:t xml:space="preserve">Revenue Model and Pilot Strategy</w:t>
      </w:r>
    </w:p>
    <w:p>
      <w:pPr>
        <w:pStyle w:val="ListParagraph"/>
        <w:numPr>
          <w:ilvl w:val="0"/>
          <w:numId w:val="2"/>
        </w:numPr>
        <w:spacing w:after="40" w:before="40"/>
      </w:pPr>
      <w:r>
        <w:rPr>
          <w:rFonts w:ascii="Arial" w:cs="Arial" w:eastAsia="Arial" w:hAnsi="Arial"/>
          <w:color w:val="3A3A3A"/>
          <w:sz w:val="22"/>
          <w:szCs w:val="22"/>
        </w:rPr>
        <w:t xml:space="preserve">Phase 1 (Current): Local pilots — corrections, drug courts, recovery community organizations, workforce development. Target: $25K–$75K Year 1. Purpose: generate past performance record for federal procurement.</w:t>
      </w:r>
    </w:p>
    <w:p>
      <w:pPr>
        <w:pStyle w:val="ListParagraph"/>
        <w:numPr>
          <w:ilvl w:val="0"/>
          <w:numId w:val="2"/>
        </w:numPr>
        <w:spacing w:after="40" w:before="40"/>
      </w:pPr>
      <w:r>
        <w:rPr>
          <w:rFonts w:ascii="Arial" w:cs="Arial" w:eastAsia="Arial" w:hAnsi="Arial"/>
          <w:color w:val="3A3A3A"/>
          <w:sz w:val="22"/>
          <w:szCs w:val="22"/>
        </w:rPr>
        <w:t xml:space="preserve">Phase 2 (12–24 months): Federal set-aside contracts through VA, DoD, BOP. Past performance from pilots becomes the evidence base. Target: $150K–$500K Year 2–3.</w:t>
      </w:r>
    </w:p>
    <w:p>
      <w:pPr>
        <w:pStyle w:val="ListParagraph"/>
        <w:numPr>
          <w:ilvl w:val="0"/>
          <w:numId w:val="2"/>
        </w:numPr>
        <w:spacing w:after="40" w:before="40"/>
      </w:pPr>
      <w:r>
        <w:rPr>
          <w:rFonts w:ascii="Arial" w:cs="Arial" w:eastAsia="Arial" w:hAnsi="Arial"/>
          <w:color w:val="3A3A3A"/>
          <w:sz w:val="22"/>
          <w:szCs w:val="22"/>
        </w:rPr>
        <w:t xml:space="preserve">Phase 3 (24–36 months): Scaled delivery through veteran peer support networks, TAP supplement contracts, and state-level veteran treatment court programs. Target: $500K+</w:t>
      </w:r>
    </w:p>
    <w:p>
      <w:r>
        <w:br w:type="page"/>
      </w:r>
    </w:p>
    <w:p>
      <w:pPr>
        <w:spacing w:after="120" w:before="480"/>
      </w:pPr>
      <w:r>
        <w:rPr>
          <w:rFonts w:ascii="Arial" w:cs="Arial" w:eastAsia="Arial" w:hAnsi="Arial"/>
          <w:b/>
          <w:bCs/>
          <w:color w:val="1A1A1A"/>
          <w:sz w:val="32"/>
          <w:szCs w:val="32"/>
        </w:rPr>
        <w:t xml:space="preserve">Conclusion</w:t>
      </w:r>
    </w:p>
    <w:p>
      <w:pPr>
        <w:pBdr>
          <w:bottom w:val="single" w:color="D0C8C0" w:sz="4" w:space="1"/>
        </w:pBdr>
        <w:spacing w:after="160" w:before="160"/>
      </w:pPr>
    </w:p>
    <w:p>
      <w:pPr>
        <w:spacing w:after="80" w:before="60"/>
        <w:jc w:val="left"/>
      </w:pPr>
      <w:r>
        <w:rPr>
          <w:rFonts w:ascii="Arial" w:cs="Arial" w:eastAsia="Arial" w:hAnsi="Arial"/>
          <w:b w:val="false"/>
          <w:bCs w:val="false"/>
          <w:i w:val="false"/>
          <w:iCs w:val="false"/>
          <w:color w:val="3A3A3A"/>
          <w:sz w:val="22"/>
          <w:szCs w:val="22"/>
        </w:rPr>
        <w:t xml:space="preserve">The veteran suicide crisis is not a mystery. The data tells a consistent story: a nervous system built for war, discharged into a civilian environment without a map, losing its structure and identity in a single event, using substances and work and isolation to manage a pain load that keeps increasing until the system fails.</w:t>
      </w:r>
    </w:p>
    <w:p>
      <w:pPr>
        <w:spacing w:after="80" w:before="60"/>
        <w:jc w:val="left"/>
      </w:pPr>
      <w:r>
        <w:rPr>
          <w:rFonts w:ascii="Arial" w:cs="Arial" w:eastAsia="Arial" w:hAnsi="Arial"/>
          <w:b w:val="false"/>
          <w:bCs w:val="false"/>
          <w:i w:val="false"/>
          <w:iCs w:val="false"/>
          <w:color w:val="3A3A3A"/>
          <w:sz w:val="22"/>
          <w:szCs w:val="22"/>
        </w:rPr>
        <w:t xml:space="preserve">The existing response — more clinicians, more hotlines, more clinical intake — addresses the downstream crisis. It does not address the upstream mechanism. And it cannot reach the 10.6 veterans per day who are dying outside of VHA contact.</w:t>
      </w:r>
    </w:p>
    <w:p>
      <w:pPr>
        <w:spacing w:after="80" w:before="60"/>
        <w:jc w:val="left"/>
      </w:pPr>
      <w:r>
        <w:rPr>
          <w:rFonts w:ascii="Arial" w:cs="Arial" w:eastAsia="Arial" w:hAnsi="Arial"/>
          <w:b w:val="false"/>
          <w:bCs w:val="false"/>
          <w:i w:val="false"/>
          <w:iCs w:val="false"/>
          <w:color w:val="3A3A3A"/>
          <w:sz w:val="22"/>
          <w:szCs w:val="22"/>
        </w:rPr>
        <w:t xml:space="preserve">The gap is not funding. The gap is delivery. Non-clinical, peer-facilitated, case-study-based psychoeducation delivered in the transition window and in the community settings where at-risk veterans actually are — that is the delivery model the data demands and the federal procurement system has not yet purchased.</w:t>
      </w:r>
    </w:p>
    <w:p>
      <w:pPr>
        <w:spacing w:after="80" w:before="60"/>
        <w:jc w:val="left"/>
      </w:pPr>
      <w:r>
        <w:rPr>
          <w:rFonts w:ascii="Arial" w:cs="Arial" w:eastAsia="Arial" w:hAnsi="Arial"/>
          <w:b/>
          <w:bCs/>
          <w:i w:val="false"/>
          <w:iCs w:val="false"/>
          <w:color w:val="3A3A3A"/>
          <w:sz w:val="22"/>
          <w:szCs w:val="22"/>
        </w:rPr>
        <w:t xml:space="preserve">Capitol Contracts LLC has built it. It is live, it is scripted, it is deployable, and it is looking for the first institutional partner willing to run a pilot and measure what happens when a room full of people who have never had the mechanism explained to them finally hear it in language that sounds like their life.</w:t>
      </w:r>
    </w:p>
    <w:p>
      <w:pPr>
        <w:pBdr>
          <w:bottom w:val="single" w:color="C4602A" w:sz="4" w:space="1"/>
        </w:pBdr>
        <w:spacing w:after="160" w:before="160"/>
      </w:pPr>
    </w:p>
    <w:p>
      <w:pPr>
        <w:spacing w:after="80" w:before="60"/>
        <w:jc w:val="center"/>
      </w:pPr>
      <w:r>
        <w:rPr>
          <w:rFonts w:ascii="Arial" w:cs="Arial" w:eastAsia="Arial" w:hAnsi="Arial"/>
          <w:b w:val="false"/>
          <w:bCs w:val="false"/>
          <w:i w:val="false"/>
          <w:iCs w:val="false"/>
          <w:color w:val="6A6A6A"/>
          <w:sz w:val="22"/>
          <w:szCs w:val="22"/>
        </w:rPr>
        <w:t xml:space="preserve">Capitol Contracts LLC  |  Clarksville, Arkansas  |  mave9055.github.io/What-Really-Happened</w:t>
      </w:r>
    </w:p>
    <w:p>
      <w:pPr>
        <w:spacing w:after="80" w:before="60"/>
        <w:jc w:val="center"/>
      </w:pPr>
      <w:r>
        <w:rPr>
          <w:rFonts w:ascii="Arial" w:cs="Arial" w:eastAsia="Arial" w:hAnsi="Arial"/>
          <w:b w:val="false"/>
          <w:bCs w:val="false"/>
          <w:i w:val="false"/>
          <w:iCs w:val="false"/>
          <w:color w:val="6A6A6A"/>
          <w:sz w:val="22"/>
          <w:szCs w:val="22"/>
        </w:rPr>
        <w:t xml:space="preserve">Daniel Lingar, Founder  |  Dane Lingar, Co-Owner (Veteran, 51%)</w:t>
      </w:r>
    </w:p>
    <w:p>
      <w:pPr>
        <w:spacing w:after="80" w:before="60"/>
        <w:jc w:val="center"/>
      </w:pPr>
      <w:r>
        <w:rPr>
          <w:rFonts w:ascii="Arial" w:cs="Arial" w:eastAsia="Arial" w:hAnsi="Arial"/>
          <w:b w:val="false"/>
          <w:bCs w:val="false"/>
          <w:i w:val="false"/>
          <w:iCs w:val="false"/>
          <w:color w:val="6A6A6A"/>
          <w:sz w:val="22"/>
          <w:szCs w:val="22"/>
        </w:rPr>
        <w:t xml:space="preserve">UEI: HH77KN5AV5X7  |  CAGE: 9ZFJ6  |  SAM.gov Registered</w:t>
      </w:r>
    </w:p>
    <w:p>
      <w:pPr>
        <w:spacing w:after="0" w:before="120"/>
      </w:pPr>
      <w:r>
        <w:t xml:space="preserve"/>
      </w:r>
    </w:p>
    <w:p>
      <w:pPr>
        <w:spacing w:after="80" w:before="60"/>
        <w:jc w:val="left"/>
      </w:pPr>
      <w:r>
        <w:rPr>
          <w:rFonts w:ascii="Arial" w:cs="Arial" w:eastAsia="Arial" w:hAnsi="Arial"/>
          <w:b w:val="false"/>
          <w:bCs w:val="false"/>
          <w:i w:val="false"/>
          <w:iCs w:val="false"/>
          <w:color w:val="6A6A6A"/>
          <w:sz w:val="18"/>
          <w:szCs w:val="18"/>
        </w:rPr>
        <w:t xml:space="preserve">References: VA 2024 National Veteran Suicide Prevention Annual Report; RAND Corporation Veteran Suicide Analysis 2025; America's Warrior Partnership Operation Deep Dive; NIDA Substance Use in Military Life; 2023 National Survey on Drug Use and Health; Joiner, Why People Die by Suicide (2005); Van der Kolk, The Body Keeps the Score (2014); Porges, Polyvagal Theory; Brown et al., CEASE Framework 2026; ScienceDirect CPTSD Suicide Risk Multigroup Analysis 2023; Multinational CPTSD Suicidality Study 2024; American Enterprise Institute Veteran Transition Research.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2026-04-05T14:58:50.290Z</dcterms:created>
  <dcterms:modified xsi:type="dcterms:W3CDTF">2026-04-05T14:58:50.291Z</dcterms:modified>
</cp:coreProperties>
</file>

<file path=docProps/custom.xml><?xml version="1.0" encoding="utf-8"?>
<Properties xmlns="http://schemas.openxmlformats.org/officeDocument/2006/custom-properties" xmlns:vt="http://schemas.openxmlformats.org/officeDocument/2006/docPropsVTypes"/>
</file>