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Программа госгарантий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В расчеты тарифов на оплату оказания стационарной, амбулаторно-поликлинической медицинской помощи, в том числе в дневных стационарах всех типов, включены затраты медицинских организаций, непосредственно связанные с процессом оказания медицинской помощи, и затраты, необходимые для обеспечения деятельности медицинских организаций в целом, но не потребляемые непосредственно в процессе оказания медицинской помощи.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4.6. Мероприятия, проводимые в различных условиях при оказании медицинской помощи в медицинских организациях, участвующих в реализации Программы ОМС, следующие: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4.6.1. При оказании медицинской помощи в амбулаторных условиях проводятся мероприятия по профилактике и диспансеризации, диагностике, лечению заболеваний, травм, оказанию медицинской помощи при последствиях несчастных случаев и иных состояниях, а также по восстановительному лечению и реабилитации, в том числе: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диагностика и лечение острых заболеваний;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диагностика и лечение хронических заболеваний и их обострений;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диагностика и лечение травм, отравлений, ожогов, не требующих госпитализации больного;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мероприятия по профилактике абортов, за исключением приобретения лекарственных препаратов и изделий медицинского назначения;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профилактика инфекционных заболеваний, за исключением приобретения медицинских иммунобиологических препаратов;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мероприятия по проведению диспансеризации пребывающих в стационарных учреждениях детей-сирот и детей, находящихся в трудной жизненной ситуации;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мероприятия по проведению диспансеризации определенных групп взрослого населения;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диспансерное наблюдение беременных и женщин в послеродовом периоде, прерывание беременности в ранние сроки (мини-аборты), профилактика резус-сенсибилизации у женщин с отрицательным резус-фактором;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диспансерное наблюдение здоровых детей;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диспансеризация лиц с хроническими заболеваниями, функциональными расстройствами, иными состояниями в целях своевременного выявления, предупреждения осложнений, обострений заболеваний, иных патологических состояний, их профилактики и осуществления медицинской реабилитации указанных лиц;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диспансеризация, проведение профилактических осмотров, динамическое наблюдение, лечение учащихся и студентов очной формы обучения;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медицинская реабилитация граждан, в том числе несовершеннолетних;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мероприятия по проведению профилактических осмотров персонала, направляемого для работы в летних оздоровительных учреждениях, и несовершеннолетних при оформлении временной занятости в летний период;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комплексное обследование и динамическое наблюдение в центрах здоровья, врачебно-физкультурных кабинетах (отделениях), кабинетах медицинской профилактики (отделениях) и кабинетах планирования семьи;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первичная медико-санитарная помощь, включая неотложную медицинскую помощь, оказываемая врачами и средним медицинским персоналом, ведущим самостоятельный прием, в отделениях организации медицинской помощи детям в образовательных учреждениях;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первичная медико-санитарная помощь, включая неотложную медицинскую помощь, оказываемая средним медицинским персоналом, ведущим самостоятельный прием, в фельдшерско-акушерских пунктах.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4.6.2. При оказании медицинской помощи в стационарных условиях проводятся мероприятия по диагностике и лечению: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острых и хронических заболеваниях, их обострении, травмах, отравлениях, ожогах и иных состояниях, требующих применения специальных методов диагностики и интенсивной терапии, круглосуточного медицинского наблюдения и (или) изоляции, в том числе по эпидемическим показаниям;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патологии беременности, родах, в послеродовой период и при абортах;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врожденных аномалиях (пороках развития), деформациях и хромосомных нарушениях;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медицинской реабилитации граждан, в том числе несовершеннолетних.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4.6.3. Медицинская помощь в условиях дневного стационара, в том числе стационара на дому, оказывается при заболеваниях и состояниях, входящих в Программу ОМС, а также при осуществлении медицинской реабилитации граждан, в том числе несовершеннолетних.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Постановлением Правительства Республики Башкортостан от 30 июня 2015 г. N 239 в подпункт 4.6.4 пункта 4.6 раздела 4 настоящей Программы внесены изменения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См. текст подпункта в предыдущей редакции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4.6.4. В медицинских организациях или их структурных подразделениях лекарственные препараты и изделия медицинского назначения, лечебные стоматологические расходные материалы предоставляются в соответствии с Территориальным перечнем жизненно необходимых и важнейших лекарственных препаратов, применяемых при оказании стационарной медицинской помощи, медицинской помощи в дневных стационарах всех типов, а также скорой и неотложной медицинской помощи в рамках Программы государственных гарантий бесплатного оказания гражданам медицинской помощи в Республике Башкортостан на 2015 год и на плановый период 2016 и 2017 годов (приложение N 6 к Программе), перечнем изделий медицинского назначения и расходных материалов, применяемых при оказании стационарной медицинской помощи в рамках Программы государственных гарантий бесплатного оказания гражданам медицинской помощи в Республике Башкортостан на 2015 год и на плановый период 2016 и 2017 годов (приложение N 9 к Программе), перечнем медикаментов и лечебных стоматологических расходных материалов, применяемых при оказании бесплатной стоматологической помощи в рамках Программы государственных гарантий бесплатного оказания гражданам медицинской помощи в Республике Башкортостан на 2015 год и на плановый период 2016 и 2017 годов (приложение N 10 к Программе).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5. Перечень видов медицинской помощи, оказываемой за счет средств бюджета Республики Башкортостан, а также перечень мероприятий и медицинских организаций, финансируемых за счет средств бюджета Республики Башкортостан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5.1. За счет средств бюджета Республики Башкортостан финансируются: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5.1.1. Специализированная санитарно-авиационная эвакуация.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5.1.2. Первичная медико-санитарная и специализированная медицинская помощь в части медицинской помощи при заболеваниях, не включенных в базовую часть Программы ОМС (туберкулез, ВИЧ-инфекция и синдром приобретенного иммунодефицита, психические расстройства и расстройства поведения, в том числе связанные с употреблением психоактивных веществ, включая профилактические осмотры несовершеннолетних в целях раннего (своевременного) выявления немедицинского потребления наркотических и психотропных веществ), а также в части расходов, не включенных в структуру тарифов на оплату оказания медицинской помощи, предусмотренную Программой ОМС.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5.1.3. Паллиативная медицинская помощь в медицинских организациях.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5.1.4. Высокотехнологичная медицинская помощь, оказываемая в медицинских организациях Республики Башкортостан, по перечню видов высокотехнологичной медицинской помощи в соответствии с разделом II Перечня видов высокотехнологичной медицинской помощи, содержащего в том числе методы лечения и источники финансового обеспечения высокотехнологичной медицинской помощи, утвержденного постановлением Правительства Российской Федерации от 28 ноября 2014 года N 1273 "О программе государственных гарантий бесплатного оказания гражданам медицинской помощи на 2015 год и на плановый период 2016 и 2017 годов", в порядке, установленном Правительством Республики Башкортостан, по следующим профилям: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абдоминальная хирургия;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акушерство и гинекология;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гематология;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комбустиология;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нейрохирургия;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оториноларингология;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онкология;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офтальмология;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педиатрия;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сердечно-сосудистая хирургия;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торакальная хирургия;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травматология и ортопедия;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трансплантация органов и тканей;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урология;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челюстно-лицевая хирургия;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эндокринология.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За счет средств бюджета Республики Башкортостан высокотехнологичную медицинскую помощь гражданам в Республике Башкортостан оказывают следующие медицинские организации: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Республиканский кардиологический центр;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"Республиканский перинатальный центр";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Республиканская клиническая больница имени Г.Г. Куватова;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"Республиканская детская клиническая больница";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Республиканский клинический онкологический диспансер Министерства здравоохранения Республики Башкортостан;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Больница скорой медицинской помощи города Уфа;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клиническая больница N 21 города Уфа;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Республиканский клинический госпиталь ветеранов войн;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больница города Салават;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клиническая больница N 18 городского округа город Уфа.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 За счет средств бюджетных ассигнований бюджета Республики Башкортостан осуществляются: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5.2.1. Обеспечение граждан при оказании амбулаторно-поликлинической помощи зарегистрированными в установленном порядке на территории Российской Федерации лекарственными препаратами для лечения заболеваний, включенных в перечень жизнеугрожающих и хронических прогрессирующих редких (орфанных) заболеваний, приводящих к сокращению продолжительности жизни граждан или их инвалидности, утвержденный постановлениемПравительства Российской Федерации от 26 апреля 2012 года N 403 (с изменением, внесенным постановлениемПравительства Российской Федерации от 4 сентября 2012 года N 882), за счет бюджетных ассигнований, предусмотренных на указанные цели, в Порядке, утвержденном постановлением Правительства Республики Башкортостан от 28 мая 2013 года N 218 "О предоставлении мер социальной поддержки отдельным группам населения в обеспечении лекарственными препаратами и изделиями медицинского назначения при оказании амбулаторно-поликлинической помощи".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5.2.2. Обеспечение лекарственными препаратами в соответствии с перечнем лекарственных препаратов, отпускаемых населению в соответствии с Перечнем групп населения и категорий заболеваний, при амбулаторном лечении которых лекарственные препараты и изделия медицинского назначения отпускаются гражданам по рецептам врачей бесплатно за счет средств бюджета Республики Башкортостан (приложение N 7 к Программе), в Порядке, утвержденномпостановлением Правительства Республики Башкортостан от 28 мая 2013 года N 218 "О предоставлении мер социальной поддержки отдельным группам населения в обеспечении лекарственными препаратами и изделиями медицинского назначения при оказании амбулаторно-поликлинической помощи".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5.2.3. Обеспечение лекарственными препаратами в соответствии с перечнем групп населения, при амбулаторном лечении которых лекарственные препараты отпускаются по рецептам врачей с 50-процентной скидкой за счет бюджетных ассигнований, предусмотренных на указанные цели, в Порядке, утвержденном постановлениемПравительства Республики Башкортостан от 28 мая 2013 года N 218 "О предоставлении мер социальной поддержки отдельным группам населения в обеспечении лекарственными препаратами и изделиями медицинского назначения при оказании амбулаторно-поликлинической помощи".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5.2.4. Медицинская помощь при массовых заболеваниях, в зонах стихийных бедствий, катастроф.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5.2.5. Приобретение медицинских иммунобиологических препаратов для вакцинации и проведения профилактических прививок по эпидемическим показаниям отдельным категориям граждан.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5.2.6. Обеспечение донорской кровью и ее компонентами.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5.2.7. Осуществление мероприятий по хранению и доставке в лечебно-профилактические учреждения медицинских иммунологических препаратов, поступающих в рамках реализации приоритетного национального проекта "Здоровье" и других федеральных мероприятий.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5.2.8. Оплата услуг по хранению и доставке лекарственных препаратов для льготных категорий больных, лекарственных препаратов, изделий медицинского назначения и специализированных продуктов лечебного питания для граждан, страдающих жизнеугрожающими и хроническими прогрессирующими редкими (орфанными) заболеваниями, приводящими к сокращению продолжительности жизни граждан или их инвалидности, специализированного питания детей до трех лет, беременных женщин.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5.2.9. Оплата лечения (включая расходы на применяемые изделия медицинского назначения) граждан, направляемых в медицинские организации Российской Федерации, свыше плановых объемов специализированной, в том числе высокотехнологичной, медицинской помощи, ежегодно утверждаемых Министерством здравоохранения Российской Федерации, за счет бюджетных ассигнований, предусмотренных на указанные цели, в порядке, утвержденном Министерством здравоохранения Республики Башкортостан.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5.2.10. Социальная поддержка отдельных групп населения в виде оплаты проезда граждан и сопровождающих их лиц за пределы Республики Башкортостан при направлении на лечение в медицинские организации Российской Федерации в порядке, установленном Правительством Республики Башкортостан.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5.2.11. Бесплатное специализированное питание детей в возрасте до трех лет, а также обеспечение специализированными продуктами питания беременных женщин и кормящих матерей за счет бюджетных ассигнований, предусмотренных на указанные цели, в порядке, установленном Правительством Республики Башкортостан.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5.2.12. Оплата медицинских услуг, предоставляемых при профессиональной патологии работающему населению Республики Башкортостан.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5.2.13. Оказание санаторно-курортного лечения детям в детских санаториях и санаториях для детей с родителями, расположенных в Республике Башкортостан.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5.2.14. Мероприятия по организации оздоровления детей (подростков) в соответствии с постановлением Правительства Республики Башкортостан от 13 февраля 2007 года N 32 "Об организации оздоровления детей".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5.2.15. Приобретение слуховых аппаратов для государственного бюджетного учреждения здравоохранения "Республиканская детская клиническая больница".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5.2.16. Оплата услуг по изданию пособия "Здоровый ребенок".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5.2.17. Мероприятия по проведению массовой комплексной пренатальной (дородовой) диагностики нарушений развития ребенка, включающей проведение в межрайонных кабинетах и отделении пренатальной диагностики нарушений внутриутробного развития ребенка ГБУЗ РПЦ ультразвукового исследования врачами-специалистами, прошедшими специальную подготовку и имеющими допуск на проведение ультразвукового скринингового обследования беременных женщин при сроках беременности 11-14 и 18-21 неделя, а также определение в лабораториях биохимического скрининга материнских сывороточных маркеров (связанного с беременностью плазменного протеина А (РАРР-А) и свободной бета-субъединицы хорионического гонадотропина) с последующим программным комплексным расчетом индивидуального риска рождения ребенка с хромосомной патологией.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5.2.18. Мероприятия по проведению неонатального скрининга на 5 наследственных и врожденных заболеваний, а также аудиологического скрининга.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5.3. За счет средств бюджета Республики Башкортостан финансируются следующие медицинские организации: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Республиканская клиническая больница N 2;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"Республиканский центр контроля качества и сертификации лекарственных средств";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казенное учреждение здравоохранения особого типа Республиканский медицинский центр мобилизационных резервов "Резерв" Министерства здравоохранения Республики Башкортостан;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автономное учреждение здравоохранения Республиканский врачебно-физкультурный диспансер;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Бюро судебно-медицинской экспертизы Министерства здравоохранения Республики Башкортостан;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казенное учреждение здравоохранения Центр медицины катастроф Республики Башкортостан;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"Медицинский информационно-аналитический центр";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Санитарный автотранспорт города Стерлитамак;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автономное учреждение здравоохранения Республики Башкортостан Медицинский информационно-аналитический центр города Стерлитамак;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Башкирский центр медицинской профилактики Министерства здравоохранения Республики Башкортостан;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Республиканский центр дезинфекции;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Уфимский городской центр медицинской профилактики;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автономное учреждение Республики Башкортостан "Центр лечебного и профилактического питания";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"Городская клиническая больница N 7";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станции (отделения) переливания крови;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специализированные дома ребенка;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медико-генетические консультации (отделения, кабинеты);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отделение санитарной авиации государственного бюджетного учреждения здравоохранения Республиканская клиническая больница им. Г.Г. Куватова;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детские санатории, санатории для детей с родителями;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клинико-диагностические лаборатории диагностики ВИЧ-инфекции в следующих медицинских организациях: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Республиканская клиническая больница им. Г.Г. Куватова;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Малоязовская центральная больница;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Белебеевская центральная больница;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больница N 1 города Октябрьский;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больница города Салават;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Городская инфекционная больница города Стерлитамак;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Центральная городская больница города Нефтекамск;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бюджетное учреждение здравоохранения Республики Башкортостан Бирская центральная районная больница;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государственное автономное учреждение здравоохранения Республиканский кожно-венерологический диспансер.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6. Перечень видов медицинской помощи, оказываемой за счет средств федерального бюджета, а также перечень мероприятий, финансируемых за счет средств федерального бюджета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За счет средств федерального бюджета осуществляется финансовое обеспечение: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высокотехнологичной медицинской помощи, не включенной в базовую программу ОМС, по перечню видов высокотехнологичной медицинской помощи, утвержденному постановлением Правительства Российской Федерации от 28 ноября 2014 года N 1273;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дополнительных мероприятий, установленных в соответствии с законодательством Российской Федерации;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предоставления в установленном порядке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препаратами, медицинскими изделиями, а также специализированными продуктами лечебного питания для детей-инвалидов в соответствии с пунктом 1 части 1 статьи 6.2 Федерального закона "О государственной социальной помощи".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Постановлением Правительства Республики Башкортостан от 27 октября 2015 г. N 454 в раздел 7 настоящей Программы внесены изменения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См. текст раздела в предыдущей редакции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7. Нормативы объема медицинской помощи, оказываемой гражданам в Республике Башкортостан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Нормативы объема медицинской помощи по ее видам рассчитываются на одного жителя в год, по Программе ОМС - на одно застрахованное лицо и формируются с учетом особенностей половозрастного состава, уровня и структуры заболеваемости населения Республики Башкортостан. Нормативы объема медицинской помощи используются в целях планирования и финансово-экономического обоснования размера подушевых нормативов финансового обеспечения, предусмотренных Программой, и составляют: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а)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скорой медицинской помощи вне медицинской организации, включая медицинскую эвакуацию, в рамках базовой части Программы ОМС: на 2015-2017 годы - 0,318 вызова на 1 застрахованное лицо;</w:t>
        <w:br/>
        <w:t>в рамках сверхбазовой части Программы ОМС на 2015 год - 0,00349 вызова на 1 застрахованное лицо;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б)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специализированной санитарно-авиационной эвакуации - 0,00058 вызова на 1 жителя;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в)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медицинской помощи в амбулаторных условиях с профилактической и иными целями (включая посещения центров здоровья, посещения в связи с диспансеризацией, посещения среднего медицинского персонала): на 2015 год - 2,784 посещения на 1 жителя, в рамках базовой части Программы ОМС - 2,3 посещения на 1 застрахованное лицо; на 2016 год - 2,836 посещения на 1 жителя, в рамках базовой части Программы ОМС - 2,35 посещения на 1 застрахованное лицо; на 2017 год - 2,867 посещения на 1 жителя, в рамках базовой части Программы ОМС - 2,38 посещения на 1 застрахованное лицо;</w:t>
        <w:br/>
        <w:t>для оказания медицинской помощи с использованием передвижных форм предоставления медицинских услуг и телемедицины в целях обеспечения доступности медицинской помощи гражданам, проживающим в малонаселенных, отдаленных и (или) труднодоступных населенных пунктах, а также в сельской местности Республики Башкортостан: на 2015 год - 0,05 посещения на 1 застрахованное лицо; на 2016 год - 0,05 посещения на 1 застрахованное лицо; на 2017 год - 0,05 посещения на 1 застрахованное лицо;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г)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медицинской помощи в амбулаторных условиях в связи с заболеваниями: на 2015 год - 2,111 обращения (законченного случая лечения заболевания в амбулаторных условиях с кратностью посещений по поводу одного заболевания не менее 2) на 1 жителя, в рамках базовой части Программы ОМС - 1,95 обращения на 1 застрахованное лицо; на 2016 год - 2,142 обращения на 1 жителя, в рамках базовой части Программы ОМС - 1,98 обращения на 1 застрахованное лицо; на 2017 год - 2,142 обращения на 1 жителя, в рамках базовой части Программы ОМС - 1,98 обращения на 1 застрахованное лицо;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д)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медицинской помощи в амбулаторных условиях в неотложной форме в рамках базовой части Программы ОМС: на 2015 год - 0,5 посещения на 1 застрахованное лицо; на 2016 год - 0,56 посещения на 1 застрахованное лицо; на 2017 год - 0,6 посещения на 1 застрахованное лицо;</w:t>
        <w:br/>
        <w:t>в рамках сверхбазовой части Программы ОМС на 2015 год - 0,00077 посещения на 1 застрахованное лицо;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е)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медицинской помощи в условиях дневных стационаров: на 2015 год - 0,628 пациенто-дня на 1 жителя, в рамках базовой части Программы ОМС - 0,56 пациенто-дня на 1 застрахованное лицо; на 2016 год - 0,629 пациенто-дня на 1 жителя, в рамках базовой части Программы ОМС - 0,56 пациенто-дня на 1 застрахованное лицо; на 2017 год - 0,629 пациенто-дня на 1 жителя, в рамках базовой части Программы ОМС - 0,56 пациенто-дня на 1 застрахованное лицо;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ж)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медицинской помощи в стационарных условиях: на 2015 год - 0,18611 случая госпитализации (законченного случая лечения в стационарных условиях) на 1 жителя, в рамках базовой части Программы ОМС - 0,172 случая госпитализации на 1 застрахованное лицо; на 2016 год - 0,18613 случая госпитализации (законченного случая лечения в стационарных условиях) на 1 жителя, в рамках базовой части Программы ОМС - 0,172 случая госпитализации на 1 застрахованное лицо; на 2017 год - 0,18616 случая госпитализации (законченного случая лечения в стационарных условиях) на 1 жителя, в рамках базовой части Программы ОМС - 0,172 случая госпитализации на 1 застрахованное лицо, в том числе:</w:t>
        <w:br/>
        <w:t>для медицинской реабилитации в специализированных больницах и центрах, оказывающих медицинскую помощь по профилю "Медицинская реабилитация", и в реабилитационных отделениях медицинских организаций в рамках базовой части Программы ОМС: на 2015 год -0,033 койко-дня на 1 застрахованное лицо; на 2016 год - 0,039 койко-дня на 1 застрахованное лицо; на 2017 год - 0,039 койко-дня на 1 застрахованное лицо; в рамках сверхбазовой части Программы ОМС на 2015 год - 0,0271093 койко-дня на 1 застрахованное лицо;</w:t>
        <w:br/>
        <w:t>для оказания высокотехнологичной помощи в стационарных условиях в целом по Программе в расчете на 1 жителя составляет на 2015 год 0,00388 случая госпитализации;</w:t>
        <w:br/>
      </w: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з)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для оказания паллиативной медицинской помощи в стационарных условиях: на 2015 год - 0,115 койко-дня на 1 жителя; на 2016 год - 0,115 койко-дня на 1 жителя; на 2017 год - 0,115 койко-дня на 1 жителя.</w:t>
        <w:br/>
        <w:t>Объем медицинской помощи, оказываемой не застрахованным по обязательному медицинскому страхованию гражданам в экстренной форме при внезапных острых заболеваниях, состояниях, обострении хронических заболеваний, представляющих угрозу жизни пациента, входящих в базовую часть Программы ОМС, включается в нормативы объема амбулаторной и стационарной медицинской помощи, и финансирование этого объема медицинской помощи обеспечивается за счет средств, предусмотренных на реализацию сверхбазовой части Программы ОМС.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altName w:val="Times"/>
    <w:charset w:val="00"/>
    <w:family w:val="auto"/>
    <w:pitch w:val="default"/>
  </w:font>
  <w:font w:name="Verdana">
    <w:altName w:val="Genev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13</Pages>
  <Words>2941</Words>
  <Characters>22111</Characters>
  <CharactersWithSpaces>24862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2018-09-02T17:11:13Z</dcterms:modified>
  <cp:revision>1</cp:revision>
  <dc:subject/>
  <dc:title/>
</cp:coreProperties>
</file>