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1FC61" w14:textId="507B4DB1" w:rsidR="00863BCE" w:rsidRPr="00863BCE" w:rsidRDefault="00863BCE" w:rsidP="00863BCE">
      <w:pPr>
        <w:jc w:val="center"/>
        <w:rPr>
          <w:rFonts w:ascii="Arial" w:hAnsi="Arial" w:cs="Arial"/>
          <w:b/>
          <w:bCs/>
          <w:color w:val="000000" w:themeColor="text1"/>
        </w:rPr>
      </w:pPr>
      <w:r w:rsidRPr="00863BCE">
        <w:rPr>
          <w:rFonts w:ascii="Arial" w:hAnsi="Arial" w:cs="Arial"/>
          <w:b/>
          <w:bCs/>
          <w:color w:val="000000" w:themeColor="text1"/>
        </w:rPr>
        <w:t>Transforming UK Healthcare through Information Systems</w:t>
      </w:r>
    </w:p>
    <w:p w14:paraId="606224AA" w14:textId="77777777" w:rsidR="00ED4C7A" w:rsidRDefault="00ED4C7A" w:rsidP="00AF33BF">
      <w:pPr>
        <w:spacing w:before="100" w:beforeAutospacing="1" w:after="100" w:afterAutospacing="1" w:line="480" w:lineRule="auto"/>
        <w:outlineLvl w:val="2"/>
        <w:rPr>
          <w:rFonts w:ascii="Arial" w:hAnsi="Arial" w:cs="Arial"/>
          <w:b/>
          <w:bCs/>
          <w:color w:val="000000" w:themeColor="text1"/>
          <w:sz w:val="22"/>
          <w:szCs w:val="22"/>
        </w:rPr>
      </w:pPr>
    </w:p>
    <w:p w14:paraId="41D06375" w14:textId="77777777" w:rsidR="00ED4C7A" w:rsidRDefault="00587141" w:rsidP="00ED4C7A">
      <w:pPr>
        <w:spacing w:before="100" w:beforeAutospacing="1" w:after="100" w:afterAutospacing="1" w:line="480" w:lineRule="auto"/>
        <w:outlineLvl w:val="2"/>
        <w:rPr>
          <w:rFonts w:ascii="Arial" w:hAnsi="Arial" w:cs="Arial"/>
          <w:b/>
          <w:bCs/>
          <w:color w:val="000000" w:themeColor="text1"/>
          <w:sz w:val="22"/>
          <w:szCs w:val="22"/>
        </w:rPr>
      </w:pPr>
      <w:r w:rsidRPr="00ED4C7A">
        <w:rPr>
          <w:rFonts w:ascii="Arial" w:hAnsi="Arial" w:cs="Arial"/>
          <w:b/>
          <w:bCs/>
          <w:color w:val="000000" w:themeColor="text1"/>
          <w:sz w:val="22"/>
          <w:szCs w:val="22"/>
        </w:rPr>
        <w:t>I</w:t>
      </w:r>
      <w:r w:rsidR="00695E0E" w:rsidRPr="00ED4C7A">
        <w:rPr>
          <w:rFonts w:ascii="Arial" w:hAnsi="Arial" w:cs="Arial"/>
          <w:b/>
          <w:bCs/>
          <w:color w:val="000000" w:themeColor="text1"/>
          <w:sz w:val="22"/>
          <w:szCs w:val="22"/>
        </w:rPr>
        <w:t>ntroduction</w:t>
      </w:r>
    </w:p>
    <w:p w14:paraId="1BE83722" w14:textId="4F1823A0" w:rsidR="00283A9A" w:rsidRPr="00ED4C7A" w:rsidRDefault="00283A9A" w:rsidP="00ED4C7A">
      <w:pPr>
        <w:spacing w:before="100" w:beforeAutospacing="1" w:after="100" w:afterAutospacing="1" w:line="480" w:lineRule="auto"/>
        <w:outlineLvl w:val="2"/>
        <w:rPr>
          <w:rFonts w:ascii="Arial" w:hAnsi="Arial" w:cs="Arial"/>
          <w:b/>
          <w:bCs/>
          <w:color w:val="000000" w:themeColor="text1"/>
          <w:sz w:val="22"/>
          <w:szCs w:val="22"/>
        </w:rPr>
      </w:pPr>
      <w:r w:rsidRPr="00AF33BF">
        <w:rPr>
          <w:rFonts w:ascii="Arial" w:hAnsi="Arial" w:cs="Arial"/>
          <w:sz w:val="22"/>
          <w:szCs w:val="22"/>
        </w:rPr>
        <w:t>The healthcare sector is undergoing significant transformation driven by advances in Information Systems (IS), which are reshaping how care is delivered, managed, and evaluated. In the United Kingdom, the National Health Service (NHS) has long recognised the need to modernise healthcare delivery by leveraging digital technologies and integrated systems. From the introduction of Electronic Patient Records (EPR) to the implementation of digital diagnostics, IS has become central to policy and practice in contemporary healthcare</w:t>
      </w:r>
      <w:r w:rsidR="0083337E" w:rsidRPr="00AF33BF">
        <w:rPr>
          <w:rFonts w:ascii="Arial" w:hAnsi="Arial" w:cs="Arial"/>
          <w:sz w:val="22"/>
          <w:szCs w:val="22"/>
        </w:rPr>
        <w:t xml:space="preserve"> </w:t>
      </w:r>
      <w:r w:rsidR="00AC6F0F" w:rsidRPr="00AF33BF">
        <w:rPr>
          <w:rFonts w:ascii="Arial" w:hAnsi="Arial" w:cs="Arial"/>
          <w:sz w:val="22"/>
          <w:szCs w:val="22"/>
        </w:rPr>
        <w:t>(</w:t>
      </w:r>
      <w:proofErr w:type="spellStart"/>
      <w:r w:rsidR="00AC6F0F" w:rsidRPr="00AF33BF">
        <w:rPr>
          <w:rFonts w:ascii="Arial" w:hAnsi="Arial" w:cs="Arial"/>
          <w:sz w:val="22"/>
          <w:szCs w:val="22"/>
        </w:rPr>
        <w:t>Epizitone</w:t>
      </w:r>
      <w:proofErr w:type="spellEnd"/>
      <w:r w:rsidR="00AC6F0F" w:rsidRPr="00AF33BF">
        <w:rPr>
          <w:rFonts w:ascii="Arial" w:hAnsi="Arial" w:cs="Arial"/>
          <w:sz w:val="22"/>
          <w:szCs w:val="22"/>
        </w:rPr>
        <w:t xml:space="preserve">, </w:t>
      </w:r>
      <w:proofErr w:type="spellStart"/>
      <w:r w:rsidR="00AC6F0F" w:rsidRPr="00AF33BF">
        <w:rPr>
          <w:rFonts w:ascii="Arial" w:hAnsi="Arial" w:cs="Arial"/>
          <w:sz w:val="22"/>
          <w:szCs w:val="22"/>
        </w:rPr>
        <w:t>Moyane</w:t>
      </w:r>
      <w:proofErr w:type="spellEnd"/>
      <w:r w:rsidR="00AC6F0F" w:rsidRPr="00AF33BF">
        <w:rPr>
          <w:rFonts w:ascii="Arial" w:hAnsi="Arial" w:cs="Arial"/>
          <w:sz w:val="22"/>
          <w:szCs w:val="22"/>
        </w:rPr>
        <w:t xml:space="preserve"> and </w:t>
      </w:r>
      <w:proofErr w:type="spellStart"/>
      <w:r w:rsidR="00AC6F0F" w:rsidRPr="00AF33BF">
        <w:rPr>
          <w:rFonts w:ascii="Arial" w:hAnsi="Arial" w:cs="Arial"/>
          <w:sz w:val="22"/>
          <w:szCs w:val="22"/>
        </w:rPr>
        <w:t>Agbehadji</w:t>
      </w:r>
      <w:proofErr w:type="spellEnd"/>
      <w:r w:rsidR="00AC6F0F" w:rsidRPr="00AF33BF">
        <w:rPr>
          <w:rFonts w:ascii="Arial" w:hAnsi="Arial" w:cs="Arial"/>
          <w:sz w:val="22"/>
          <w:szCs w:val="22"/>
        </w:rPr>
        <w:t>, 2023)</w:t>
      </w:r>
      <w:r w:rsidRPr="00AF33BF">
        <w:rPr>
          <w:rFonts w:ascii="Arial" w:hAnsi="Arial" w:cs="Arial"/>
          <w:sz w:val="22"/>
          <w:szCs w:val="22"/>
        </w:rPr>
        <w:t>.</w:t>
      </w:r>
    </w:p>
    <w:p w14:paraId="3697D750" w14:textId="2A67DBEA" w:rsidR="00283A9A" w:rsidRPr="00AF33BF" w:rsidRDefault="00283A9A" w:rsidP="00AF33BF">
      <w:pPr>
        <w:spacing w:before="100" w:beforeAutospacing="1" w:after="100" w:afterAutospacing="1" w:line="480" w:lineRule="auto"/>
        <w:rPr>
          <w:rFonts w:ascii="Arial" w:hAnsi="Arial" w:cs="Arial"/>
          <w:sz w:val="22"/>
          <w:szCs w:val="22"/>
        </w:rPr>
      </w:pPr>
      <w:r w:rsidRPr="00AF33BF">
        <w:rPr>
          <w:rFonts w:ascii="Arial" w:hAnsi="Arial" w:cs="Arial"/>
          <w:sz w:val="22"/>
          <w:szCs w:val="22"/>
        </w:rPr>
        <w:t xml:space="preserve">This literature review explores how IS </w:t>
      </w:r>
      <w:r w:rsidRPr="00AF33BF">
        <w:rPr>
          <w:rFonts w:ascii="Arial" w:hAnsi="Arial" w:cs="Arial"/>
          <w:sz w:val="22"/>
          <w:szCs w:val="22"/>
        </w:rPr>
        <w:t>are</w:t>
      </w:r>
      <w:r w:rsidRPr="00AF33BF">
        <w:rPr>
          <w:rFonts w:ascii="Arial" w:hAnsi="Arial" w:cs="Arial"/>
          <w:sz w:val="22"/>
          <w:szCs w:val="22"/>
        </w:rPr>
        <w:t xml:space="preserve"> being used to transform healthcare in the UK, with a focus on identifying key benefits, challenges, and the methodological approaches used in existing research. Given the NHS’s unique position as a publicly funded, centralised system, the UK provides a compelling case study for examining the systemic impact of digital healthcare transformation.</w:t>
      </w:r>
    </w:p>
    <w:p w14:paraId="7A2BE83C" w14:textId="77777777" w:rsidR="00283A9A" w:rsidRPr="00AF33BF" w:rsidRDefault="00283A9A" w:rsidP="00AF33BF">
      <w:pPr>
        <w:spacing w:before="100" w:beforeAutospacing="1" w:after="100" w:afterAutospacing="1" w:line="480" w:lineRule="auto"/>
        <w:rPr>
          <w:rFonts w:ascii="Arial" w:hAnsi="Arial" w:cs="Arial"/>
          <w:sz w:val="22"/>
          <w:szCs w:val="22"/>
        </w:rPr>
      </w:pPr>
      <w:r w:rsidRPr="00AF33BF">
        <w:rPr>
          <w:rFonts w:ascii="Arial" w:hAnsi="Arial" w:cs="Arial"/>
          <w:sz w:val="22"/>
          <w:szCs w:val="22"/>
        </w:rPr>
        <w:t>The aim of this review is to critically evaluate the current body of literature on IS in UK healthcare, drawing attention to both successful implementations and persistent barriers. It will examine how IS contributes to clinical decision-making, patient engagement, and service efficiency while considering the frameworks used to assess such transformations. By identifying gaps and inconsistencies in the literature, this review also aims to highlight areas for further research and development.</w:t>
      </w:r>
    </w:p>
    <w:p w14:paraId="574612F3" w14:textId="0D1E8609" w:rsidR="008043C2" w:rsidRPr="00ED4C7A" w:rsidRDefault="00695E0E" w:rsidP="00AF33BF">
      <w:pPr>
        <w:spacing w:line="480" w:lineRule="auto"/>
        <w:rPr>
          <w:rFonts w:ascii="Arial" w:hAnsi="Arial" w:cs="Arial"/>
          <w:b/>
          <w:bCs/>
          <w:sz w:val="22"/>
          <w:szCs w:val="22"/>
        </w:rPr>
      </w:pPr>
      <w:r w:rsidRPr="00ED4C7A">
        <w:rPr>
          <w:rFonts w:ascii="Arial" w:hAnsi="Arial" w:cs="Arial"/>
          <w:b/>
          <w:bCs/>
          <w:sz w:val="22"/>
          <w:szCs w:val="22"/>
        </w:rPr>
        <w:t xml:space="preserve">Overview of current knowledge </w:t>
      </w:r>
    </w:p>
    <w:p w14:paraId="571BCA19" w14:textId="77777777" w:rsidR="00695E0E" w:rsidRPr="00AF33BF" w:rsidRDefault="00695E0E" w:rsidP="00AF33BF">
      <w:pPr>
        <w:spacing w:line="480" w:lineRule="auto"/>
        <w:rPr>
          <w:rFonts w:ascii="Arial" w:hAnsi="Arial" w:cs="Arial"/>
          <w:sz w:val="22"/>
          <w:szCs w:val="22"/>
        </w:rPr>
      </w:pPr>
    </w:p>
    <w:p w14:paraId="61929C1B" w14:textId="6708C934" w:rsidR="00415B8A" w:rsidRPr="00AF33BF" w:rsidRDefault="00415B8A" w:rsidP="00AF33BF">
      <w:pPr>
        <w:spacing w:line="480" w:lineRule="auto"/>
        <w:rPr>
          <w:rFonts w:ascii="Arial" w:hAnsi="Arial" w:cs="Arial"/>
          <w:sz w:val="22"/>
          <w:szCs w:val="22"/>
        </w:rPr>
      </w:pPr>
      <w:r w:rsidRPr="00AF33BF">
        <w:rPr>
          <w:rFonts w:ascii="Arial" w:hAnsi="Arial" w:cs="Arial"/>
          <w:sz w:val="22"/>
          <w:szCs w:val="22"/>
        </w:rPr>
        <w:t xml:space="preserve">The integration of Information Systems (IS) within the UK healthcare sector, particularly the NHS, has been both a strategic objective and a complex challenge for over two decades. </w:t>
      </w:r>
      <w:r w:rsidRPr="00AF33BF">
        <w:rPr>
          <w:rFonts w:ascii="Arial" w:hAnsi="Arial" w:cs="Arial"/>
          <w:sz w:val="22"/>
          <w:szCs w:val="22"/>
        </w:rPr>
        <w:lastRenderedPageBreak/>
        <w:t>Early initiatives such as the National Programme for IT (</w:t>
      </w:r>
      <w:proofErr w:type="spellStart"/>
      <w:r w:rsidRPr="00AF33BF">
        <w:rPr>
          <w:rFonts w:ascii="Arial" w:hAnsi="Arial" w:cs="Arial"/>
          <w:sz w:val="22"/>
          <w:szCs w:val="22"/>
        </w:rPr>
        <w:t>NPfIT</w:t>
      </w:r>
      <w:proofErr w:type="spellEnd"/>
      <w:r w:rsidRPr="00AF33BF">
        <w:rPr>
          <w:rFonts w:ascii="Arial" w:hAnsi="Arial" w:cs="Arial"/>
          <w:sz w:val="22"/>
          <w:szCs w:val="22"/>
        </w:rPr>
        <w:t xml:space="preserve">), launched in 2002, aimed to modernise the NHS through centralised digital infrastructure, including national Electronic Patient Records (EPR), Picture Archiving and Communication Systems (PACS), and digital referrals. However, the </w:t>
      </w:r>
      <w:proofErr w:type="spellStart"/>
      <w:r w:rsidRPr="00AF33BF">
        <w:rPr>
          <w:rFonts w:ascii="Arial" w:hAnsi="Arial" w:cs="Arial"/>
          <w:sz w:val="22"/>
          <w:szCs w:val="22"/>
        </w:rPr>
        <w:t>NPfIT</w:t>
      </w:r>
      <w:proofErr w:type="spellEnd"/>
      <w:r w:rsidRPr="00AF33BF">
        <w:rPr>
          <w:rFonts w:ascii="Arial" w:hAnsi="Arial" w:cs="Arial"/>
          <w:sz w:val="22"/>
          <w:szCs w:val="22"/>
        </w:rPr>
        <w:t xml:space="preserve"> was ultimately dismantled in 2011 after encountering issues related to cost overruns, lack of clinician engagement, and difficulties in achieving interoperability. Its failure was not only organisational but also financial: by 2012, </w:t>
      </w:r>
      <w:proofErr w:type="spellStart"/>
      <w:r w:rsidRPr="00AF33BF">
        <w:rPr>
          <w:rFonts w:ascii="Arial" w:hAnsi="Arial" w:cs="Arial"/>
          <w:sz w:val="22"/>
          <w:szCs w:val="22"/>
        </w:rPr>
        <w:t>NPfIT</w:t>
      </w:r>
      <w:proofErr w:type="spellEnd"/>
      <w:r w:rsidRPr="00AF33BF">
        <w:rPr>
          <w:rFonts w:ascii="Arial" w:hAnsi="Arial" w:cs="Arial"/>
          <w:sz w:val="22"/>
          <w:szCs w:val="22"/>
        </w:rPr>
        <w:t xml:space="preserve"> had burned through £7.3 billion—vastly exceeding its estimated £3.66 billion in benefits—and was forecast to reach £9.78 billion in costs before a hoped-for 2021 break-even point. Auditors also warned that the true costs were likely still understated and expected to rise further, making it one of the most expensive failed public sector IT projects in UK history</w:t>
      </w:r>
      <w:r w:rsidRPr="00AF33BF">
        <w:rPr>
          <w:rFonts w:ascii="Arial" w:hAnsi="Arial" w:cs="Arial"/>
          <w:sz w:val="22"/>
          <w:szCs w:val="22"/>
        </w:rPr>
        <w:t xml:space="preserve"> </w:t>
      </w:r>
      <w:r w:rsidRPr="00AF33BF">
        <w:rPr>
          <w:rFonts w:ascii="Arial" w:hAnsi="Arial" w:cs="Arial"/>
          <w:sz w:val="22"/>
          <w:szCs w:val="22"/>
        </w:rPr>
        <w:t>(Greenhalgh et al., 2011).</w:t>
      </w:r>
    </w:p>
    <w:p w14:paraId="028FC3AD" w14:textId="77777777" w:rsidR="008043C2" w:rsidRPr="008043C2" w:rsidRDefault="008043C2" w:rsidP="00AF33BF">
      <w:pPr>
        <w:spacing w:before="100" w:beforeAutospacing="1" w:after="100" w:afterAutospacing="1" w:line="480" w:lineRule="auto"/>
        <w:rPr>
          <w:rFonts w:ascii="Arial" w:hAnsi="Arial" w:cs="Arial"/>
          <w:sz w:val="22"/>
          <w:szCs w:val="22"/>
        </w:rPr>
      </w:pPr>
      <w:r w:rsidRPr="008043C2">
        <w:rPr>
          <w:rFonts w:ascii="Arial" w:hAnsi="Arial" w:cs="Arial"/>
          <w:sz w:val="22"/>
          <w:szCs w:val="22"/>
        </w:rPr>
        <w:t>Despite early setbacks, the NHS has since made significant strides in digital transformation. Current efforts are guided by the NHS Long Term Plan (2019) and the NHSX initiative, which promote interoperability, patient-centred care, and real-time data access. A key development has been the Global Digital Exemplar (GDE) programme, which provides funding and support for selected NHS Trusts to become models of digital excellence. These Trusts implement advanced IS such as EPR systems, clinical decision support tools, and integrated care platforms, with learnings disseminated to other organisations (NHS England, 2020).</w:t>
      </w:r>
    </w:p>
    <w:p w14:paraId="60526BA2" w14:textId="77777777" w:rsidR="008043C2" w:rsidRPr="008043C2" w:rsidRDefault="008043C2" w:rsidP="00AF33BF">
      <w:pPr>
        <w:spacing w:before="100" w:beforeAutospacing="1" w:after="100" w:afterAutospacing="1" w:line="480" w:lineRule="auto"/>
        <w:rPr>
          <w:rFonts w:ascii="Arial" w:hAnsi="Arial" w:cs="Arial"/>
          <w:sz w:val="22"/>
          <w:szCs w:val="22"/>
        </w:rPr>
      </w:pPr>
      <w:r w:rsidRPr="008043C2">
        <w:rPr>
          <w:rFonts w:ascii="Arial" w:hAnsi="Arial" w:cs="Arial"/>
          <w:sz w:val="22"/>
          <w:szCs w:val="22"/>
        </w:rPr>
        <w:t>Electronic Patient Records are now widely adopted across secondary care, enabling the standardisation of clinical documentation, improved communication between departments, and better access to patient histories. Similarly, Health Information Exchanges (HIEs), such as the Local Health and Care Record Exemplars (LHCREs), aim to connect care providers across regional boundaries, allowing for coordinated, multi-agency care planning.</w:t>
      </w:r>
    </w:p>
    <w:p w14:paraId="54F81100" w14:textId="77777777" w:rsidR="008043C2" w:rsidRPr="008043C2" w:rsidRDefault="008043C2" w:rsidP="00AF33BF">
      <w:pPr>
        <w:spacing w:before="100" w:beforeAutospacing="1" w:after="100" w:afterAutospacing="1" w:line="480" w:lineRule="auto"/>
        <w:rPr>
          <w:rFonts w:ascii="Arial" w:hAnsi="Arial" w:cs="Arial"/>
          <w:sz w:val="22"/>
          <w:szCs w:val="22"/>
        </w:rPr>
      </w:pPr>
      <w:r w:rsidRPr="008043C2">
        <w:rPr>
          <w:rFonts w:ascii="Arial" w:hAnsi="Arial" w:cs="Arial"/>
          <w:sz w:val="22"/>
          <w:szCs w:val="22"/>
        </w:rPr>
        <w:t xml:space="preserve">Another area of development is the use of IS to support data analytics and population health management. Platforms such as the NHS Spine and data warehouses like the Secondary </w:t>
      </w:r>
      <w:r w:rsidRPr="008043C2">
        <w:rPr>
          <w:rFonts w:ascii="Arial" w:hAnsi="Arial" w:cs="Arial"/>
          <w:sz w:val="22"/>
          <w:szCs w:val="22"/>
        </w:rPr>
        <w:lastRenderedPageBreak/>
        <w:t>Uses Service (SUS) allow for aggregated patient data to be used for service planning, policy evaluation, and clinical research. During the COVID-19 pandemic, IS proved essential in facilitating remote consultations, tracking vaccine distribution, and monitoring public health data in real time.</w:t>
      </w:r>
    </w:p>
    <w:p w14:paraId="45811498" w14:textId="77777777" w:rsidR="000F4561" w:rsidRPr="00AF33BF" w:rsidRDefault="008043C2" w:rsidP="00AF33BF">
      <w:pPr>
        <w:spacing w:line="480" w:lineRule="auto"/>
        <w:rPr>
          <w:rFonts w:ascii="Arial" w:hAnsi="Arial" w:cs="Arial"/>
          <w:sz w:val="22"/>
          <w:szCs w:val="22"/>
        </w:rPr>
      </w:pPr>
      <w:r w:rsidRPr="008043C2">
        <w:rPr>
          <w:rFonts w:ascii="Arial" w:hAnsi="Arial" w:cs="Arial"/>
          <w:sz w:val="22"/>
          <w:szCs w:val="22"/>
        </w:rPr>
        <w:t xml:space="preserve">However, the literature reveals ongoing concerns around system fragmentation, inconsistent data standards, and cyber security. There is also a growing body of work examining the unintended consequences of digitalisation, including clinician burnout due to system complexity and data entry burden </w:t>
      </w:r>
      <w:r w:rsidR="000F4561" w:rsidRPr="00AF33BF">
        <w:rPr>
          <w:rFonts w:ascii="Arial" w:hAnsi="Arial" w:cs="Arial"/>
          <w:sz w:val="22"/>
          <w:szCs w:val="22"/>
        </w:rPr>
        <w:t>(</w:t>
      </w:r>
      <w:proofErr w:type="spellStart"/>
      <w:r w:rsidR="000F4561" w:rsidRPr="00AF33BF">
        <w:rPr>
          <w:rFonts w:ascii="Arial" w:hAnsi="Arial" w:cs="Arial"/>
          <w:sz w:val="22"/>
          <w:szCs w:val="22"/>
        </w:rPr>
        <w:t>Cresswell</w:t>
      </w:r>
      <w:proofErr w:type="spellEnd"/>
      <w:r w:rsidR="000F4561" w:rsidRPr="00AF33BF">
        <w:rPr>
          <w:rFonts w:ascii="Arial" w:hAnsi="Arial" w:cs="Arial"/>
          <w:sz w:val="22"/>
          <w:szCs w:val="22"/>
        </w:rPr>
        <w:t xml:space="preserve"> and Sheikh, 2015)</w:t>
      </w:r>
    </w:p>
    <w:p w14:paraId="4BB1141A" w14:textId="03FFF120" w:rsidR="008043C2" w:rsidRPr="008043C2" w:rsidRDefault="008043C2" w:rsidP="00AF33BF">
      <w:pPr>
        <w:spacing w:before="100" w:beforeAutospacing="1" w:after="100" w:afterAutospacing="1" w:line="480" w:lineRule="auto"/>
        <w:rPr>
          <w:rFonts w:ascii="Arial" w:hAnsi="Arial" w:cs="Arial"/>
          <w:sz w:val="22"/>
          <w:szCs w:val="22"/>
        </w:rPr>
      </w:pPr>
      <w:r w:rsidRPr="008043C2">
        <w:rPr>
          <w:rFonts w:ascii="Arial" w:hAnsi="Arial" w:cs="Arial"/>
          <w:sz w:val="22"/>
          <w:szCs w:val="22"/>
        </w:rPr>
        <w:t>.</w:t>
      </w:r>
    </w:p>
    <w:p w14:paraId="635D00E3" w14:textId="3C722EC8" w:rsidR="008043C2" w:rsidRPr="00AF33BF" w:rsidRDefault="008043C2" w:rsidP="00AF33BF">
      <w:pPr>
        <w:spacing w:before="100" w:beforeAutospacing="1" w:after="100" w:afterAutospacing="1" w:line="480" w:lineRule="auto"/>
        <w:rPr>
          <w:rFonts w:ascii="Arial" w:hAnsi="Arial" w:cs="Arial"/>
          <w:sz w:val="22"/>
          <w:szCs w:val="22"/>
        </w:rPr>
      </w:pPr>
      <w:r w:rsidRPr="008043C2">
        <w:rPr>
          <w:rFonts w:ascii="Arial" w:hAnsi="Arial" w:cs="Arial"/>
          <w:sz w:val="22"/>
          <w:szCs w:val="22"/>
        </w:rPr>
        <w:t>Overall, the UK's experience demonstrates both the transformative potential and operational difficulties of embedding IS in healthcare. The literature reflects a mixed narrative—on one hand, significant improvements in care delivery and patient engagement; on the other, recurring challenges that impede full-scale transformation.</w:t>
      </w:r>
    </w:p>
    <w:p w14:paraId="022099D6" w14:textId="05E11841" w:rsidR="00251ED4" w:rsidRPr="009E2EBA" w:rsidRDefault="00C12E65" w:rsidP="00AF33BF">
      <w:pPr>
        <w:pStyle w:val="Heading3"/>
        <w:spacing w:line="480" w:lineRule="auto"/>
        <w:rPr>
          <w:rFonts w:ascii="Arial" w:hAnsi="Arial" w:cs="Arial"/>
          <w:b w:val="0"/>
          <w:bCs w:val="0"/>
          <w:color w:val="000000" w:themeColor="text1"/>
          <w:sz w:val="22"/>
          <w:szCs w:val="22"/>
        </w:rPr>
      </w:pPr>
      <w:r w:rsidRPr="009E2EBA">
        <w:rPr>
          <w:rStyle w:val="Strong"/>
          <w:rFonts w:ascii="Arial" w:hAnsi="Arial" w:cs="Arial"/>
          <w:b/>
          <w:bCs/>
          <w:color w:val="000000" w:themeColor="text1"/>
          <w:sz w:val="22"/>
          <w:szCs w:val="22"/>
        </w:rPr>
        <w:t xml:space="preserve">Critical Discussion of Literature </w:t>
      </w:r>
    </w:p>
    <w:p w14:paraId="54723B5D" w14:textId="03899D88" w:rsidR="00251ED4" w:rsidRPr="009E2EBA" w:rsidRDefault="00251ED4" w:rsidP="00AF33BF">
      <w:pPr>
        <w:pStyle w:val="Heading3"/>
        <w:spacing w:line="480" w:lineRule="auto"/>
        <w:rPr>
          <w:rFonts w:ascii="Arial" w:hAnsi="Arial" w:cs="Arial"/>
          <w:b w:val="0"/>
          <w:bCs w:val="0"/>
          <w:sz w:val="22"/>
          <w:szCs w:val="22"/>
        </w:rPr>
      </w:pPr>
      <w:r w:rsidRPr="009E2EBA">
        <w:rPr>
          <w:rStyle w:val="Strong"/>
          <w:rFonts w:ascii="Arial" w:hAnsi="Arial" w:cs="Arial"/>
          <w:b/>
          <w:bCs/>
          <w:sz w:val="22"/>
          <w:szCs w:val="22"/>
        </w:rPr>
        <w:t>Benefits of IS in UK Healthcare</w:t>
      </w:r>
    </w:p>
    <w:p w14:paraId="5E56249E" w14:textId="450AD978" w:rsidR="00982789" w:rsidRPr="00AF33BF" w:rsidRDefault="00251ED4" w:rsidP="00AF33BF">
      <w:pPr>
        <w:spacing w:line="480" w:lineRule="auto"/>
        <w:rPr>
          <w:rFonts w:ascii="Arial" w:hAnsi="Arial" w:cs="Arial"/>
          <w:sz w:val="22"/>
          <w:szCs w:val="22"/>
        </w:rPr>
      </w:pPr>
      <w:r w:rsidRPr="00AF33BF">
        <w:rPr>
          <w:rFonts w:ascii="Arial" w:hAnsi="Arial" w:cs="Arial"/>
          <w:sz w:val="22"/>
          <w:szCs w:val="22"/>
        </w:rPr>
        <w:t xml:space="preserve">A substantial body of literature supports the assertion that well-implemented IS can lead to improved clinical outcomes, operational efficiency, and patient satisfaction. For instance, Greenhalgh et al. (2009) </w:t>
      </w:r>
      <w:r w:rsidR="00863C52" w:rsidRPr="00AF33BF">
        <w:rPr>
          <w:rFonts w:ascii="Arial" w:hAnsi="Arial" w:cs="Arial"/>
          <w:color w:val="000000"/>
          <w:sz w:val="22"/>
          <w:szCs w:val="22"/>
          <w:shd w:val="clear" w:color="auto" w:fill="FFFFFF"/>
        </w:rPr>
        <w:t>Using the meta-narrative method</w:t>
      </w:r>
      <w:r w:rsidR="00863C52" w:rsidRPr="00AF33BF">
        <w:rPr>
          <w:rFonts w:ascii="Arial" w:hAnsi="Arial" w:cs="Arial"/>
          <w:color w:val="000000"/>
          <w:sz w:val="22"/>
          <w:szCs w:val="22"/>
          <w:shd w:val="clear" w:color="auto" w:fill="FFFFFF"/>
        </w:rPr>
        <w:t xml:space="preserve">, </w:t>
      </w:r>
      <w:r w:rsidRPr="00AF33BF">
        <w:rPr>
          <w:rFonts w:ascii="Arial" w:hAnsi="Arial" w:cs="Arial"/>
          <w:sz w:val="22"/>
          <w:szCs w:val="22"/>
        </w:rPr>
        <w:t xml:space="preserve">identified how EPR systems contribute to faster clinical decision-making, reduced duplication of tests, and improved continuity of care. Similarly, </w:t>
      </w:r>
      <w:proofErr w:type="spellStart"/>
      <w:r w:rsidRPr="00AF33BF">
        <w:rPr>
          <w:rFonts w:ascii="Arial" w:hAnsi="Arial" w:cs="Arial"/>
          <w:sz w:val="22"/>
          <w:szCs w:val="22"/>
        </w:rPr>
        <w:t>Cresswell</w:t>
      </w:r>
      <w:proofErr w:type="spellEnd"/>
      <w:r w:rsidRPr="00AF33BF">
        <w:rPr>
          <w:rFonts w:ascii="Arial" w:hAnsi="Arial" w:cs="Arial"/>
          <w:sz w:val="22"/>
          <w:szCs w:val="22"/>
        </w:rPr>
        <w:t xml:space="preserve"> and Sheikh (2</w:t>
      </w:r>
      <w:r w:rsidR="000F4561" w:rsidRPr="00AF33BF">
        <w:rPr>
          <w:rFonts w:ascii="Arial" w:hAnsi="Arial" w:cs="Arial"/>
          <w:sz w:val="22"/>
          <w:szCs w:val="22"/>
        </w:rPr>
        <w:t>015</w:t>
      </w:r>
      <w:r w:rsidRPr="00AF33BF">
        <w:rPr>
          <w:rFonts w:ascii="Arial" w:hAnsi="Arial" w:cs="Arial"/>
          <w:sz w:val="22"/>
          <w:szCs w:val="22"/>
        </w:rPr>
        <w:t>) point to the advantages of decision support systems (DSS) in reducing prescribing errors and enhancing evidence-based practice.</w:t>
      </w:r>
    </w:p>
    <w:p w14:paraId="18F1C166" w14:textId="5939AD4E" w:rsidR="00251ED4" w:rsidRPr="00AF33BF" w:rsidRDefault="00251ED4" w:rsidP="00AF33BF">
      <w:pPr>
        <w:pStyle w:val="NormalWeb"/>
        <w:spacing w:line="480" w:lineRule="auto"/>
        <w:rPr>
          <w:rFonts w:ascii="Arial" w:hAnsi="Arial" w:cs="Arial"/>
          <w:sz w:val="22"/>
          <w:szCs w:val="22"/>
        </w:rPr>
      </w:pPr>
      <w:r w:rsidRPr="00AF33BF">
        <w:rPr>
          <w:rFonts w:ascii="Arial" w:hAnsi="Arial" w:cs="Arial"/>
          <w:sz w:val="22"/>
          <w:szCs w:val="22"/>
        </w:rPr>
        <w:t xml:space="preserve">Population health tools, including data lakes fed by platforms such as NHS Spine, are used for proactive management of chronic diseases and targeting interventions to at-risk </w:t>
      </w:r>
      <w:r w:rsidRPr="00AF33BF">
        <w:rPr>
          <w:rFonts w:ascii="Arial" w:hAnsi="Arial" w:cs="Arial"/>
          <w:sz w:val="22"/>
          <w:szCs w:val="22"/>
        </w:rPr>
        <w:lastRenderedPageBreak/>
        <w:t xml:space="preserve">populations (NHS Digital, 2020). The literature highlights successes during the COVID-19 pandemic, particularly in using real-time dashboards for case tracking and vaccine deployment, as noted by </w:t>
      </w:r>
      <w:proofErr w:type="spellStart"/>
      <w:r w:rsidRPr="00AF33BF">
        <w:rPr>
          <w:rFonts w:ascii="Arial" w:hAnsi="Arial" w:cs="Arial"/>
          <w:sz w:val="22"/>
          <w:szCs w:val="22"/>
        </w:rPr>
        <w:t>Keesara</w:t>
      </w:r>
      <w:proofErr w:type="spellEnd"/>
      <w:r w:rsidRPr="00AF33BF">
        <w:rPr>
          <w:rFonts w:ascii="Arial" w:hAnsi="Arial" w:cs="Arial"/>
          <w:sz w:val="22"/>
          <w:szCs w:val="22"/>
        </w:rPr>
        <w:t xml:space="preserve"> et al. (2020).</w:t>
      </w:r>
    </w:p>
    <w:p w14:paraId="5A5B85C0" w14:textId="394623A1" w:rsidR="00CD754D" w:rsidRPr="009E2EBA" w:rsidRDefault="00CD754D" w:rsidP="00AF33BF">
      <w:pPr>
        <w:pStyle w:val="Heading3"/>
        <w:spacing w:line="480" w:lineRule="auto"/>
        <w:rPr>
          <w:rFonts w:ascii="Arial" w:hAnsi="Arial" w:cs="Arial"/>
          <w:b w:val="0"/>
          <w:bCs w:val="0"/>
          <w:sz w:val="22"/>
          <w:szCs w:val="22"/>
        </w:rPr>
      </w:pPr>
      <w:r w:rsidRPr="009E2EBA">
        <w:rPr>
          <w:rStyle w:val="Strong"/>
          <w:rFonts w:ascii="Arial" w:hAnsi="Arial" w:cs="Arial"/>
          <w:b/>
          <w:bCs/>
          <w:sz w:val="22"/>
          <w:szCs w:val="22"/>
        </w:rPr>
        <w:t>Challenges and Risks</w:t>
      </w:r>
    </w:p>
    <w:p w14:paraId="0426F144" w14:textId="5E115A6A" w:rsidR="00CD754D" w:rsidRPr="00AF33BF" w:rsidRDefault="00CD754D" w:rsidP="00AF33BF">
      <w:pPr>
        <w:pStyle w:val="NormalWeb"/>
        <w:spacing w:line="480" w:lineRule="auto"/>
        <w:rPr>
          <w:rFonts w:ascii="Arial" w:hAnsi="Arial" w:cs="Arial"/>
          <w:sz w:val="22"/>
          <w:szCs w:val="22"/>
        </w:rPr>
      </w:pPr>
      <w:r w:rsidRPr="00AF33BF">
        <w:rPr>
          <w:rFonts w:ascii="Arial" w:hAnsi="Arial" w:cs="Arial"/>
          <w:sz w:val="22"/>
          <w:szCs w:val="22"/>
        </w:rPr>
        <w:t xml:space="preserve">Despite clear benefits, IS adoption across the NHS has been </w:t>
      </w:r>
      <w:r w:rsidRPr="00AF33BF">
        <w:rPr>
          <w:rFonts w:ascii="Arial" w:hAnsi="Arial" w:cs="Arial"/>
          <w:sz w:val="22"/>
          <w:szCs w:val="22"/>
        </w:rPr>
        <w:t>impaired</w:t>
      </w:r>
      <w:r w:rsidRPr="00AF33BF">
        <w:rPr>
          <w:rFonts w:ascii="Arial" w:hAnsi="Arial" w:cs="Arial"/>
          <w:sz w:val="22"/>
          <w:szCs w:val="22"/>
        </w:rPr>
        <w:t xml:space="preserve"> by a variety of challenges. Many </w:t>
      </w:r>
      <w:r w:rsidRPr="00AF33BF">
        <w:rPr>
          <w:rFonts w:ascii="Arial" w:hAnsi="Arial" w:cs="Arial"/>
          <w:sz w:val="22"/>
          <w:szCs w:val="22"/>
        </w:rPr>
        <w:t xml:space="preserve">NHS </w:t>
      </w:r>
      <w:r w:rsidRPr="00AF33BF">
        <w:rPr>
          <w:rFonts w:ascii="Arial" w:hAnsi="Arial" w:cs="Arial"/>
          <w:sz w:val="22"/>
          <w:szCs w:val="22"/>
        </w:rPr>
        <w:t>Trusts operate on incompatible systems, making data exchange across organisations difficult. This is compounded by inconsistent data standards and the absence of a national data dictionary, leading to semantic and syntactic mismatches</w:t>
      </w:r>
      <w:r w:rsidR="009D161C" w:rsidRPr="00AF33BF">
        <w:rPr>
          <w:rFonts w:ascii="Arial" w:hAnsi="Arial" w:cs="Arial"/>
          <w:sz w:val="22"/>
          <w:szCs w:val="22"/>
        </w:rPr>
        <w:t xml:space="preserve"> </w:t>
      </w:r>
      <w:r w:rsidR="009D161C" w:rsidRPr="00AF33BF">
        <w:rPr>
          <w:rFonts w:ascii="Arial" w:hAnsi="Arial" w:cs="Arial"/>
          <w:sz w:val="22"/>
          <w:szCs w:val="22"/>
        </w:rPr>
        <w:t>(Waterson, 2014)</w:t>
      </w:r>
      <w:r w:rsidRPr="00AF33BF">
        <w:rPr>
          <w:rFonts w:ascii="Arial" w:hAnsi="Arial" w:cs="Arial"/>
          <w:sz w:val="22"/>
          <w:szCs w:val="22"/>
        </w:rPr>
        <w:t>.</w:t>
      </w:r>
    </w:p>
    <w:p w14:paraId="6502815D" w14:textId="561FA35D" w:rsidR="00CD754D" w:rsidRPr="00AF33BF" w:rsidRDefault="00CD754D" w:rsidP="00AF33BF">
      <w:pPr>
        <w:pStyle w:val="NormalWeb"/>
        <w:spacing w:line="480" w:lineRule="auto"/>
        <w:rPr>
          <w:rFonts w:ascii="Arial" w:hAnsi="Arial" w:cs="Arial"/>
          <w:sz w:val="22"/>
          <w:szCs w:val="22"/>
        </w:rPr>
      </w:pPr>
      <w:r w:rsidRPr="00AF33BF">
        <w:rPr>
          <w:rFonts w:ascii="Arial" w:hAnsi="Arial" w:cs="Arial"/>
          <w:sz w:val="22"/>
          <w:szCs w:val="22"/>
        </w:rPr>
        <w:t xml:space="preserve">The financial risks remain </w:t>
      </w:r>
      <w:r w:rsidR="00897983" w:rsidRPr="00AF33BF">
        <w:rPr>
          <w:rFonts w:ascii="Arial" w:hAnsi="Arial" w:cs="Arial"/>
          <w:sz w:val="22"/>
          <w:szCs w:val="22"/>
        </w:rPr>
        <w:t>major</w:t>
      </w:r>
      <w:r w:rsidRPr="00AF33BF">
        <w:rPr>
          <w:rFonts w:ascii="Arial" w:hAnsi="Arial" w:cs="Arial"/>
          <w:sz w:val="22"/>
          <w:szCs w:val="22"/>
        </w:rPr>
        <w:t xml:space="preserve">, especially in light of the </w:t>
      </w:r>
      <w:proofErr w:type="spellStart"/>
      <w:r w:rsidRPr="00AF33BF">
        <w:rPr>
          <w:rFonts w:ascii="Arial" w:hAnsi="Arial" w:cs="Arial"/>
          <w:sz w:val="22"/>
          <w:szCs w:val="22"/>
        </w:rPr>
        <w:t>NPfIT’s</w:t>
      </w:r>
      <w:proofErr w:type="spellEnd"/>
      <w:r w:rsidRPr="00AF33BF">
        <w:rPr>
          <w:rFonts w:ascii="Arial" w:hAnsi="Arial" w:cs="Arial"/>
          <w:sz w:val="22"/>
          <w:szCs w:val="22"/>
        </w:rPr>
        <w:t xml:space="preserve"> collapse. As noted in the NAO (2013) report, the project’s failure was not solely technical but managerial, with insufficient stakeholder consultation and unrealistic timelines. Moreover, the push for rapid digital transformation has led to increased clinician workload.</w:t>
      </w:r>
      <w:r w:rsidR="004F2561" w:rsidRPr="00AF33BF">
        <w:rPr>
          <w:rFonts w:ascii="Arial" w:hAnsi="Arial" w:cs="Arial"/>
          <w:sz w:val="22"/>
          <w:szCs w:val="22"/>
        </w:rPr>
        <w:t xml:space="preserve"> Although </w:t>
      </w:r>
      <w:r w:rsidR="004F2561" w:rsidRPr="00AF33BF">
        <w:rPr>
          <w:rFonts w:ascii="Arial" w:hAnsi="Arial" w:cs="Arial"/>
          <w:sz w:val="22"/>
          <w:szCs w:val="22"/>
        </w:rPr>
        <w:t>Greenhalgh et al. (2009)</w:t>
      </w:r>
      <w:r w:rsidR="004F2561" w:rsidRPr="00AF33BF">
        <w:rPr>
          <w:rFonts w:ascii="Arial" w:hAnsi="Arial" w:cs="Arial"/>
          <w:sz w:val="22"/>
          <w:szCs w:val="22"/>
        </w:rPr>
        <w:t xml:space="preserve"> suggests that </w:t>
      </w:r>
      <w:r w:rsidR="00897983" w:rsidRPr="00AF33BF">
        <w:rPr>
          <w:rFonts w:ascii="Arial" w:hAnsi="Arial" w:cs="Arial"/>
          <w:sz w:val="22"/>
          <w:szCs w:val="22"/>
        </w:rPr>
        <w:t xml:space="preserve">EPR secondary work is more efficient (audit, research and billing), </w:t>
      </w:r>
      <w:r w:rsidRPr="00AF33BF">
        <w:rPr>
          <w:rFonts w:ascii="Arial" w:hAnsi="Arial" w:cs="Arial"/>
          <w:sz w:val="22"/>
          <w:szCs w:val="22"/>
        </w:rPr>
        <w:t xml:space="preserve">Studies by </w:t>
      </w:r>
      <w:proofErr w:type="spellStart"/>
      <w:r w:rsidRPr="00AF33BF">
        <w:rPr>
          <w:rFonts w:ascii="Arial" w:hAnsi="Arial" w:cs="Arial"/>
          <w:sz w:val="22"/>
          <w:szCs w:val="22"/>
        </w:rPr>
        <w:t>Alobayli</w:t>
      </w:r>
      <w:proofErr w:type="spellEnd"/>
      <w:r w:rsidRPr="00AF33BF">
        <w:rPr>
          <w:rFonts w:ascii="Arial" w:hAnsi="Arial" w:cs="Arial"/>
          <w:sz w:val="22"/>
          <w:szCs w:val="22"/>
        </w:rPr>
        <w:t xml:space="preserve"> et al. (2023) show that over-reliance on EPRs and rigid data entry structures contribute to burnout and “click fatigue,” especially in frontline roles</w:t>
      </w:r>
      <w:r w:rsidR="00897983" w:rsidRPr="00AF33BF">
        <w:rPr>
          <w:rFonts w:ascii="Arial" w:hAnsi="Arial" w:cs="Arial"/>
          <w:sz w:val="22"/>
          <w:szCs w:val="22"/>
        </w:rPr>
        <w:t xml:space="preserve"> and can make primary clinical work less efficient</w:t>
      </w:r>
    </w:p>
    <w:p w14:paraId="2C29A773" w14:textId="6172C375" w:rsidR="00CD754D" w:rsidRPr="00AF33BF" w:rsidRDefault="00CD754D" w:rsidP="00AF33BF">
      <w:pPr>
        <w:pStyle w:val="NormalWeb"/>
        <w:spacing w:line="480" w:lineRule="auto"/>
        <w:rPr>
          <w:rFonts w:ascii="Arial" w:hAnsi="Arial" w:cs="Arial"/>
          <w:sz w:val="22"/>
          <w:szCs w:val="22"/>
        </w:rPr>
      </w:pPr>
      <w:r w:rsidRPr="00AF33BF">
        <w:rPr>
          <w:rFonts w:ascii="Arial" w:hAnsi="Arial" w:cs="Arial"/>
          <w:sz w:val="22"/>
          <w:szCs w:val="22"/>
        </w:rPr>
        <w:t>Another emerging area of concern is cybersecurity. The 2017 WannaCry ransomware attack, which disrupted over 80 NHS Trusts, Martin et al., 2018</w:t>
      </w:r>
      <w:r w:rsidR="00821C58" w:rsidRPr="00AF33BF">
        <w:rPr>
          <w:rFonts w:ascii="Arial" w:hAnsi="Arial" w:cs="Arial"/>
          <w:sz w:val="22"/>
          <w:szCs w:val="22"/>
        </w:rPr>
        <w:t xml:space="preserve"> emphasised the </w:t>
      </w:r>
      <w:r w:rsidRPr="00AF33BF">
        <w:rPr>
          <w:rFonts w:ascii="Arial" w:hAnsi="Arial" w:cs="Arial"/>
          <w:sz w:val="22"/>
          <w:szCs w:val="22"/>
        </w:rPr>
        <w:t>expose</w:t>
      </w:r>
      <w:r w:rsidR="00821C58" w:rsidRPr="00AF33BF">
        <w:rPr>
          <w:rFonts w:ascii="Arial" w:hAnsi="Arial" w:cs="Arial"/>
          <w:sz w:val="22"/>
          <w:szCs w:val="22"/>
        </w:rPr>
        <w:t xml:space="preserve">r </w:t>
      </w:r>
      <w:r w:rsidR="001308C8" w:rsidRPr="00AF33BF">
        <w:rPr>
          <w:rFonts w:ascii="Arial" w:hAnsi="Arial" w:cs="Arial"/>
          <w:sz w:val="22"/>
          <w:szCs w:val="22"/>
        </w:rPr>
        <w:t>to vulnerabilities</w:t>
      </w:r>
      <w:r w:rsidRPr="00AF33BF">
        <w:rPr>
          <w:rFonts w:ascii="Arial" w:hAnsi="Arial" w:cs="Arial"/>
          <w:sz w:val="22"/>
          <w:szCs w:val="22"/>
        </w:rPr>
        <w:t xml:space="preserve"> in legacy systems and underscored the need for robust digital resilience strategies.</w:t>
      </w:r>
    </w:p>
    <w:p w14:paraId="57CD78B6" w14:textId="009CC3E0" w:rsidR="009A749B" w:rsidRPr="00AF33BF" w:rsidRDefault="009A749B" w:rsidP="00AF33BF">
      <w:pPr>
        <w:pStyle w:val="NormalWeb"/>
        <w:spacing w:line="480" w:lineRule="auto"/>
        <w:rPr>
          <w:rFonts w:ascii="Arial" w:hAnsi="Arial" w:cs="Arial"/>
          <w:sz w:val="22"/>
          <w:szCs w:val="22"/>
        </w:rPr>
      </w:pPr>
    </w:p>
    <w:p w14:paraId="6134F3B2" w14:textId="77777777" w:rsidR="009E2EBA" w:rsidRDefault="009E2EBA" w:rsidP="00AF33BF">
      <w:pPr>
        <w:pStyle w:val="Heading3"/>
        <w:spacing w:line="480" w:lineRule="auto"/>
        <w:rPr>
          <w:rStyle w:val="Strong"/>
          <w:rFonts w:ascii="Arial" w:hAnsi="Arial" w:cs="Arial"/>
          <w:sz w:val="22"/>
          <w:szCs w:val="22"/>
        </w:rPr>
      </w:pPr>
    </w:p>
    <w:p w14:paraId="10000104" w14:textId="77777777" w:rsidR="009E2EBA" w:rsidRDefault="009E2EBA" w:rsidP="00AF33BF">
      <w:pPr>
        <w:pStyle w:val="Heading3"/>
        <w:spacing w:line="480" w:lineRule="auto"/>
        <w:rPr>
          <w:rStyle w:val="Strong"/>
          <w:rFonts w:ascii="Arial" w:hAnsi="Arial" w:cs="Arial"/>
          <w:sz w:val="22"/>
          <w:szCs w:val="22"/>
        </w:rPr>
      </w:pPr>
    </w:p>
    <w:p w14:paraId="7AFDE686" w14:textId="4775DF30" w:rsidR="009A749B" w:rsidRPr="009E2EBA" w:rsidRDefault="009A749B" w:rsidP="00AF33BF">
      <w:pPr>
        <w:pStyle w:val="Heading3"/>
        <w:spacing w:line="480" w:lineRule="auto"/>
        <w:rPr>
          <w:rFonts w:ascii="Arial" w:hAnsi="Arial" w:cs="Arial"/>
          <w:b w:val="0"/>
          <w:bCs w:val="0"/>
          <w:sz w:val="22"/>
          <w:szCs w:val="22"/>
        </w:rPr>
      </w:pPr>
      <w:r w:rsidRPr="009E2EBA">
        <w:rPr>
          <w:rStyle w:val="Strong"/>
          <w:rFonts w:ascii="Arial" w:hAnsi="Arial" w:cs="Arial"/>
          <w:b/>
          <w:bCs/>
          <w:sz w:val="22"/>
          <w:szCs w:val="22"/>
        </w:rPr>
        <w:lastRenderedPageBreak/>
        <w:t>Implementation Frameworks and Methodologies</w:t>
      </w:r>
    </w:p>
    <w:p w14:paraId="7981941E" w14:textId="77777777" w:rsidR="009A749B" w:rsidRPr="00AF33BF" w:rsidRDefault="009A749B" w:rsidP="00AF33BF">
      <w:pPr>
        <w:pStyle w:val="NormalWeb"/>
        <w:spacing w:line="480" w:lineRule="auto"/>
        <w:rPr>
          <w:rFonts w:ascii="Arial" w:hAnsi="Arial" w:cs="Arial"/>
          <w:sz w:val="22"/>
          <w:szCs w:val="22"/>
        </w:rPr>
      </w:pPr>
      <w:r w:rsidRPr="00AF33BF">
        <w:rPr>
          <w:rFonts w:ascii="Arial" w:hAnsi="Arial" w:cs="Arial"/>
          <w:sz w:val="22"/>
          <w:szCs w:val="22"/>
        </w:rPr>
        <w:t>Several frameworks have been proposed to guide the adoption and evaluation of IS in healthcare. The Technology Acceptance Model (TAM) is commonly referenced to understand clinician buy-in, highlighting the role of perceived ease of use and usefulness in shaping attitudes toward new systems (Davis, 1989). In the UK context, studies applying TAM have shown that while senior clinicians may support digital tools, junior staff often resist due to lack of training or fear of workflow disruption (Holden &amp; Karsh, 2010).</w:t>
      </w:r>
    </w:p>
    <w:p w14:paraId="32D690BE" w14:textId="23A8B5E4" w:rsidR="00801F89" w:rsidRPr="00AF33BF" w:rsidRDefault="00477B12" w:rsidP="00AF33BF">
      <w:pPr>
        <w:pStyle w:val="NormalWeb"/>
        <w:spacing w:line="480" w:lineRule="auto"/>
        <w:rPr>
          <w:rFonts w:ascii="Arial" w:hAnsi="Arial" w:cs="Arial"/>
          <w:color w:val="000000" w:themeColor="text1"/>
          <w:sz w:val="22"/>
          <w:szCs w:val="22"/>
        </w:rPr>
      </w:pPr>
      <w:r w:rsidRPr="00AF33BF">
        <w:rPr>
          <w:rFonts w:ascii="Arial" w:hAnsi="Arial" w:cs="Arial"/>
          <w:color w:val="000000" w:themeColor="text1"/>
          <w:sz w:val="22"/>
          <w:szCs w:val="22"/>
        </w:rPr>
        <w:t xml:space="preserve">A study from </w:t>
      </w:r>
      <w:r w:rsidRPr="00AF33BF">
        <w:rPr>
          <w:rFonts w:ascii="Arial" w:hAnsi="Arial" w:cs="Arial"/>
          <w:color w:val="000000" w:themeColor="text1"/>
          <w:sz w:val="22"/>
          <w:szCs w:val="22"/>
        </w:rPr>
        <w:t>Scott et al., 2017</w:t>
      </w:r>
      <w:r w:rsidR="005A6202" w:rsidRPr="00AF33BF">
        <w:rPr>
          <w:rFonts w:ascii="Arial" w:hAnsi="Arial" w:cs="Arial"/>
          <w:color w:val="000000" w:themeColor="text1"/>
          <w:sz w:val="22"/>
          <w:szCs w:val="22"/>
        </w:rPr>
        <w:t xml:space="preserve"> examined information and communication technology used by nurses in clinical practices- One of which was the </w:t>
      </w:r>
      <w:proofErr w:type="spellStart"/>
      <w:r w:rsidR="005A6202" w:rsidRPr="00AF33BF">
        <w:rPr>
          <w:rFonts w:ascii="Arial" w:hAnsi="Arial" w:cs="Arial"/>
          <w:color w:val="000000" w:themeColor="text1"/>
          <w:sz w:val="22"/>
          <w:szCs w:val="22"/>
        </w:rPr>
        <w:t>DeLone</w:t>
      </w:r>
      <w:proofErr w:type="spellEnd"/>
      <w:r w:rsidR="005A6202" w:rsidRPr="00AF33BF">
        <w:rPr>
          <w:rFonts w:ascii="Arial" w:hAnsi="Arial" w:cs="Arial"/>
          <w:color w:val="000000" w:themeColor="text1"/>
          <w:sz w:val="22"/>
          <w:szCs w:val="22"/>
        </w:rPr>
        <w:t xml:space="preserve"> and McLean IS success model </w:t>
      </w:r>
      <w:r w:rsidR="005A6202" w:rsidRPr="00AF33BF">
        <w:rPr>
          <w:rFonts w:ascii="Arial" w:hAnsi="Arial" w:cs="Arial"/>
          <w:color w:val="000000" w:themeColor="text1"/>
          <w:sz w:val="22"/>
          <w:szCs w:val="22"/>
        </w:rPr>
        <w:t>which evaluates system success through six constructs: system quality, information quality, service quality, use, user satisfaction, and net benefits (</w:t>
      </w:r>
      <w:proofErr w:type="spellStart"/>
      <w:r w:rsidR="005A6202" w:rsidRPr="00AF33BF">
        <w:rPr>
          <w:rFonts w:ascii="Arial" w:hAnsi="Arial" w:cs="Arial"/>
          <w:color w:val="000000" w:themeColor="text1"/>
          <w:sz w:val="22"/>
          <w:szCs w:val="22"/>
        </w:rPr>
        <w:t>DeLone</w:t>
      </w:r>
      <w:proofErr w:type="spellEnd"/>
      <w:r w:rsidR="005A6202" w:rsidRPr="00AF33BF">
        <w:rPr>
          <w:rFonts w:ascii="Arial" w:hAnsi="Arial" w:cs="Arial"/>
          <w:color w:val="000000" w:themeColor="text1"/>
          <w:sz w:val="22"/>
          <w:szCs w:val="22"/>
        </w:rPr>
        <w:t xml:space="preserve"> &amp; McLean, 2003)</w:t>
      </w:r>
      <w:r w:rsidR="005A6202" w:rsidRPr="00AF33BF">
        <w:rPr>
          <w:rFonts w:ascii="Arial" w:hAnsi="Arial" w:cs="Arial"/>
          <w:color w:val="000000" w:themeColor="text1"/>
          <w:sz w:val="22"/>
          <w:szCs w:val="22"/>
        </w:rPr>
        <w:t xml:space="preserve">, the findings suggested that </w:t>
      </w:r>
      <w:r w:rsidR="005A6202" w:rsidRPr="00AF33BF">
        <w:rPr>
          <w:rFonts w:ascii="Arial" w:hAnsi="Arial" w:cs="Arial"/>
          <w:color w:val="000000" w:themeColor="text1"/>
          <w:sz w:val="22"/>
          <w:szCs w:val="22"/>
        </w:rPr>
        <w:t>while technical quality is improving, user satisfaction varies significantly across Trusts, often reflecting local implementation strategies.</w:t>
      </w:r>
    </w:p>
    <w:p w14:paraId="7465E691" w14:textId="7FF8D54B" w:rsidR="00801F89" w:rsidRPr="009E2EBA" w:rsidRDefault="00801F89" w:rsidP="00AF33BF">
      <w:pPr>
        <w:spacing w:line="480" w:lineRule="auto"/>
        <w:rPr>
          <w:rFonts w:ascii="Arial" w:hAnsi="Arial" w:cs="Arial"/>
          <w:b/>
          <w:bCs/>
          <w:sz w:val="22"/>
          <w:szCs w:val="22"/>
        </w:rPr>
      </w:pPr>
      <w:r w:rsidRPr="009E2EBA">
        <w:rPr>
          <w:rFonts w:ascii="Arial" w:hAnsi="Arial" w:cs="Arial"/>
          <w:b/>
          <w:bCs/>
          <w:sz w:val="22"/>
          <w:szCs w:val="22"/>
        </w:rPr>
        <w:t>Case Studies: Successes and Failures</w:t>
      </w:r>
    </w:p>
    <w:p w14:paraId="2DD15F59" w14:textId="77777777" w:rsidR="000D1130" w:rsidRPr="000D1130" w:rsidRDefault="000D1130" w:rsidP="00AF33BF">
      <w:pPr>
        <w:spacing w:before="100" w:beforeAutospacing="1" w:after="100" w:afterAutospacing="1" w:line="480" w:lineRule="auto"/>
        <w:rPr>
          <w:rFonts w:ascii="Arial" w:hAnsi="Arial" w:cs="Arial"/>
          <w:sz w:val="22"/>
          <w:szCs w:val="22"/>
        </w:rPr>
      </w:pPr>
      <w:r w:rsidRPr="000D1130">
        <w:rPr>
          <w:rFonts w:ascii="Arial" w:hAnsi="Arial" w:cs="Arial"/>
          <w:sz w:val="22"/>
          <w:szCs w:val="22"/>
        </w:rPr>
        <w:t>Imperial College Healthcare NHS Trust, one of the NHS's original Global Digital Exemplars (GDEs), has been at the forefront of applying Information Systems to enhance maternity care. A flagship project within this trust involved the digital monitoring of maternal and foetal vital signs, aimed at improving early detection of risk and streamlining clinical response times in its maternity services.</w:t>
      </w:r>
    </w:p>
    <w:p w14:paraId="5443AB87" w14:textId="2C2234ED" w:rsidR="000D1130" w:rsidRPr="000D1130" w:rsidRDefault="000D1130" w:rsidP="00AF33BF">
      <w:pPr>
        <w:spacing w:line="480" w:lineRule="auto"/>
        <w:rPr>
          <w:rFonts w:ascii="Arial" w:hAnsi="Arial" w:cs="Arial"/>
          <w:sz w:val="22"/>
          <w:szCs w:val="22"/>
        </w:rPr>
      </w:pPr>
      <w:r w:rsidRPr="000D1130">
        <w:rPr>
          <w:rFonts w:ascii="Arial" w:hAnsi="Arial" w:cs="Arial"/>
          <w:sz w:val="22"/>
          <w:szCs w:val="22"/>
        </w:rPr>
        <w:t xml:space="preserve">The system integrates wearable monitoring devices and a digital platform that continuously tracks temperature, blood pressure, pulse, and oxygen levels, updating patient records in real time. Midwives and doctors receive alerts if any of the measurements breach predefined thresholds, enabling early intervention. </w:t>
      </w:r>
      <w:r w:rsidR="000475AF" w:rsidRPr="00AF33BF">
        <w:rPr>
          <w:rFonts w:ascii="Arial" w:hAnsi="Arial" w:cs="Arial"/>
          <w:sz w:val="22"/>
          <w:szCs w:val="22"/>
        </w:rPr>
        <w:t>T</w:t>
      </w:r>
      <w:r w:rsidRPr="000D1130">
        <w:rPr>
          <w:rFonts w:ascii="Arial" w:hAnsi="Arial" w:cs="Arial"/>
          <w:sz w:val="22"/>
          <w:szCs w:val="22"/>
        </w:rPr>
        <w:t>his approach has significantly reduced manual data entry and improved care escalation efficiency.</w:t>
      </w:r>
    </w:p>
    <w:p w14:paraId="210736A1" w14:textId="77777777" w:rsidR="000475AF" w:rsidRPr="00AF33BF" w:rsidRDefault="000D1130" w:rsidP="00AF33BF">
      <w:pPr>
        <w:spacing w:line="480" w:lineRule="auto"/>
        <w:rPr>
          <w:rFonts w:ascii="Arial" w:hAnsi="Arial" w:cs="Arial"/>
          <w:sz w:val="22"/>
          <w:szCs w:val="22"/>
        </w:rPr>
      </w:pPr>
      <w:r w:rsidRPr="000D1130">
        <w:rPr>
          <w:rFonts w:ascii="Arial" w:hAnsi="Arial" w:cs="Arial"/>
          <w:sz w:val="22"/>
          <w:szCs w:val="22"/>
        </w:rPr>
        <w:lastRenderedPageBreak/>
        <w:t>Critically, the Trust reports that this IS implementation increased midwives’ confidence, improved the timeliness of clinical interventions, and reduced duplication of data between paper and digital records. Importantly, it also facilitated compliance with national maternity safety standards, aligning digital innovation with policy priorities such as the Saving Babies’ Lives Care Bundle</w:t>
      </w:r>
      <w:r w:rsidR="00887513" w:rsidRPr="00AF33BF">
        <w:rPr>
          <w:rFonts w:ascii="Arial" w:hAnsi="Arial" w:cs="Arial"/>
          <w:sz w:val="22"/>
          <w:szCs w:val="22"/>
        </w:rPr>
        <w:t xml:space="preserve"> </w:t>
      </w:r>
      <w:r w:rsidR="000475AF" w:rsidRPr="00AF33BF">
        <w:rPr>
          <w:rFonts w:ascii="Arial" w:hAnsi="Arial" w:cs="Arial"/>
          <w:sz w:val="22"/>
          <w:szCs w:val="22"/>
        </w:rPr>
        <w:t>(NHS England, 2025)</w:t>
      </w:r>
      <w:r w:rsidR="000475AF" w:rsidRPr="00AF33BF">
        <w:rPr>
          <w:rFonts w:ascii="Arial" w:hAnsi="Arial" w:cs="Arial"/>
          <w:sz w:val="22"/>
          <w:szCs w:val="22"/>
        </w:rPr>
        <w:t>.</w:t>
      </w:r>
    </w:p>
    <w:p w14:paraId="7DB05CC4" w14:textId="77777777" w:rsidR="000475AF" w:rsidRPr="00AF33BF" w:rsidRDefault="000475AF" w:rsidP="00AF33BF">
      <w:pPr>
        <w:spacing w:line="480" w:lineRule="auto"/>
        <w:rPr>
          <w:rFonts w:ascii="Arial" w:hAnsi="Arial" w:cs="Arial"/>
          <w:sz w:val="22"/>
          <w:szCs w:val="22"/>
        </w:rPr>
      </w:pPr>
    </w:p>
    <w:p w14:paraId="0CC6D753" w14:textId="2CC787C5" w:rsidR="00FF0DF0" w:rsidRPr="00AF33BF" w:rsidRDefault="000D1130" w:rsidP="00AF33BF">
      <w:pPr>
        <w:spacing w:line="480" w:lineRule="auto"/>
        <w:rPr>
          <w:rFonts w:ascii="Arial" w:hAnsi="Arial" w:cs="Arial"/>
          <w:sz w:val="22"/>
          <w:szCs w:val="22"/>
        </w:rPr>
      </w:pPr>
      <w:r w:rsidRPr="000D1130">
        <w:rPr>
          <w:rFonts w:ascii="Arial" w:hAnsi="Arial" w:cs="Arial"/>
          <w:sz w:val="22"/>
          <w:szCs w:val="22"/>
        </w:rPr>
        <w:t xml:space="preserve">From a digital transformation perspective, this case underscores the importance of user-centred design and staff engagement. </w:t>
      </w:r>
      <w:r w:rsidR="00887513" w:rsidRPr="00AF33BF">
        <w:rPr>
          <w:rFonts w:ascii="Arial" w:hAnsi="Arial" w:cs="Arial"/>
          <w:sz w:val="22"/>
          <w:szCs w:val="22"/>
        </w:rPr>
        <w:t xml:space="preserve">For example, the cardiotocograph readings were being captured in a way that provided a </w:t>
      </w:r>
      <w:r w:rsidR="005450C7" w:rsidRPr="00AF33BF">
        <w:rPr>
          <w:rFonts w:ascii="Arial" w:hAnsi="Arial" w:cs="Arial"/>
          <w:sz w:val="22"/>
          <w:szCs w:val="22"/>
        </w:rPr>
        <w:t>reliable</w:t>
      </w:r>
      <w:r w:rsidR="00887513" w:rsidRPr="00AF33BF">
        <w:rPr>
          <w:rFonts w:ascii="Arial" w:hAnsi="Arial" w:cs="Arial"/>
          <w:sz w:val="22"/>
          <w:szCs w:val="22"/>
        </w:rPr>
        <w:t xml:space="preserve"> and long-term reco</w:t>
      </w:r>
      <w:r w:rsidR="005450C7" w:rsidRPr="00AF33BF">
        <w:rPr>
          <w:rFonts w:ascii="Arial" w:hAnsi="Arial" w:cs="Arial"/>
          <w:sz w:val="22"/>
          <w:szCs w:val="22"/>
        </w:rPr>
        <w:t>r</w:t>
      </w:r>
      <w:r w:rsidR="00887513" w:rsidRPr="00AF33BF">
        <w:rPr>
          <w:rFonts w:ascii="Arial" w:hAnsi="Arial" w:cs="Arial"/>
          <w:sz w:val="22"/>
          <w:szCs w:val="22"/>
        </w:rPr>
        <w:t>d</w:t>
      </w:r>
      <w:r w:rsidR="005450C7" w:rsidRPr="00AF33BF">
        <w:rPr>
          <w:rFonts w:ascii="Arial" w:hAnsi="Arial" w:cs="Arial"/>
          <w:sz w:val="22"/>
          <w:szCs w:val="22"/>
        </w:rPr>
        <w:t>ing system</w:t>
      </w:r>
      <w:r w:rsidR="00887513" w:rsidRPr="00AF33BF">
        <w:rPr>
          <w:rFonts w:ascii="Arial" w:hAnsi="Arial" w:cs="Arial"/>
          <w:sz w:val="22"/>
          <w:szCs w:val="22"/>
        </w:rPr>
        <w:t xml:space="preserve"> since the </w:t>
      </w:r>
      <w:r w:rsidR="00DE04B3" w:rsidRPr="00AF33BF">
        <w:rPr>
          <w:rFonts w:ascii="Arial" w:hAnsi="Arial" w:cs="Arial"/>
          <w:sz w:val="22"/>
          <w:szCs w:val="22"/>
        </w:rPr>
        <w:t xml:space="preserve">foetal </w:t>
      </w:r>
      <w:r w:rsidR="00887513" w:rsidRPr="00AF33BF">
        <w:rPr>
          <w:rFonts w:ascii="Arial" w:hAnsi="Arial" w:cs="Arial"/>
          <w:sz w:val="22"/>
          <w:szCs w:val="22"/>
        </w:rPr>
        <w:t>strips faded overtime</w:t>
      </w:r>
      <w:r w:rsidR="00DE04B3" w:rsidRPr="00AF33BF">
        <w:rPr>
          <w:rFonts w:ascii="Arial" w:hAnsi="Arial" w:cs="Arial"/>
          <w:sz w:val="22"/>
          <w:szCs w:val="22"/>
        </w:rPr>
        <w:t xml:space="preserve">, sharing these results </w:t>
      </w:r>
      <w:r w:rsidR="00003E60" w:rsidRPr="00AF33BF">
        <w:rPr>
          <w:rFonts w:ascii="Arial" w:hAnsi="Arial" w:cs="Arial"/>
          <w:sz w:val="22"/>
          <w:szCs w:val="22"/>
        </w:rPr>
        <w:t>for a second opinion has become more efficient.</w:t>
      </w:r>
    </w:p>
    <w:p w14:paraId="4C5626C7" w14:textId="12602061" w:rsidR="000D1130" w:rsidRPr="000D1130" w:rsidRDefault="000D1130" w:rsidP="00AF33BF">
      <w:pPr>
        <w:spacing w:before="100" w:beforeAutospacing="1" w:after="100" w:afterAutospacing="1" w:line="480" w:lineRule="auto"/>
        <w:rPr>
          <w:rFonts w:ascii="Arial" w:hAnsi="Arial" w:cs="Arial"/>
          <w:sz w:val="22"/>
          <w:szCs w:val="22"/>
        </w:rPr>
      </w:pPr>
      <w:r w:rsidRPr="000D1130">
        <w:rPr>
          <w:rFonts w:ascii="Arial" w:hAnsi="Arial" w:cs="Arial"/>
          <w:sz w:val="22"/>
          <w:szCs w:val="22"/>
        </w:rPr>
        <w:t xml:space="preserve">However, this case also illustrates challenges seen in broader NHS IS initiatives. For example, initial </w:t>
      </w:r>
      <w:r w:rsidR="00003E60" w:rsidRPr="00AF33BF">
        <w:rPr>
          <w:rFonts w:ascii="Arial" w:hAnsi="Arial" w:cs="Arial"/>
          <w:sz w:val="22"/>
          <w:szCs w:val="22"/>
        </w:rPr>
        <w:t>large investments being made on wireless upgrades and device calibration.</w:t>
      </w:r>
      <w:r w:rsidR="00FF0DF0" w:rsidRPr="00AF33BF">
        <w:rPr>
          <w:rFonts w:ascii="Arial" w:hAnsi="Arial" w:cs="Arial"/>
          <w:sz w:val="22"/>
          <w:szCs w:val="22"/>
        </w:rPr>
        <w:t xml:space="preserve"> </w:t>
      </w:r>
      <w:r w:rsidRPr="000D1130">
        <w:rPr>
          <w:rFonts w:ascii="Arial" w:hAnsi="Arial" w:cs="Arial"/>
          <w:sz w:val="22"/>
          <w:szCs w:val="22"/>
        </w:rPr>
        <w:t>Moreover, the Trust had to actively manage change resistance among clinical staff unfamiliar with the technology</w:t>
      </w:r>
      <w:r w:rsidR="00FF0DF0" w:rsidRPr="00AF33BF">
        <w:rPr>
          <w:rFonts w:ascii="Arial" w:hAnsi="Arial" w:cs="Arial"/>
          <w:sz w:val="22"/>
          <w:szCs w:val="22"/>
        </w:rPr>
        <w:t xml:space="preserve">; this is a common challenge </w:t>
      </w:r>
      <w:r w:rsidRPr="000D1130">
        <w:rPr>
          <w:rFonts w:ascii="Arial" w:hAnsi="Arial" w:cs="Arial"/>
          <w:sz w:val="22"/>
          <w:szCs w:val="22"/>
        </w:rPr>
        <w:t>highlighted in national IS rollouts (Waterson, 2014).</w:t>
      </w:r>
      <w:r w:rsidR="00FF0DF0" w:rsidRPr="00AF33BF">
        <w:rPr>
          <w:rFonts w:ascii="Arial" w:hAnsi="Arial" w:cs="Arial"/>
          <w:sz w:val="22"/>
          <w:szCs w:val="22"/>
        </w:rPr>
        <w:t xml:space="preserve"> To help with this, the Trust </w:t>
      </w:r>
      <w:r w:rsidR="00FF0DF0" w:rsidRPr="000D1130">
        <w:rPr>
          <w:rFonts w:ascii="Arial" w:hAnsi="Arial" w:cs="Arial"/>
          <w:sz w:val="22"/>
          <w:szCs w:val="22"/>
        </w:rPr>
        <w:t>provided hands-on training, addressed infrastructure gaps, and continuously reviewed the platform's performance with multidisciplinary teams.</w:t>
      </w:r>
    </w:p>
    <w:p w14:paraId="201A79FC" w14:textId="77777777" w:rsidR="000D1130" w:rsidRPr="000D1130" w:rsidRDefault="000D1130" w:rsidP="00AF33BF">
      <w:pPr>
        <w:spacing w:before="100" w:beforeAutospacing="1" w:after="100" w:afterAutospacing="1" w:line="480" w:lineRule="auto"/>
        <w:rPr>
          <w:rFonts w:ascii="Arial" w:hAnsi="Arial" w:cs="Arial"/>
          <w:sz w:val="22"/>
          <w:szCs w:val="22"/>
        </w:rPr>
      </w:pPr>
      <w:r w:rsidRPr="000D1130">
        <w:rPr>
          <w:rFonts w:ascii="Arial" w:hAnsi="Arial" w:cs="Arial"/>
          <w:sz w:val="22"/>
          <w:szCs w:val="22"/>
        </w:rPr>
        <w:t xml:space="preserve">In contrast to national failures such as </w:t>
      </w:r>
      <w:proofErr w:type="spellStart"/>
      <w:r w:rsidRPr="000D1130">
        <w:rPr>
          <w:rFonts w:ascii="Arial" w:hAnsi="Arial" w:cs="Arial"/>
          <w:sz w:val="22"/>
          <w:szCs w:val="22"/>
        </w:rPr>
        <w:t>NPfIT</w:t>
      </w:r>
      <w:proofErr w:type="spellEnd"/>
      <w:r w:rsidRPr="000D1130">
        <w:rPr>
          <w:rFonts w:ascii="Arial" w:hAnsi="Arial" w:cs="Arial"/>
          <w:sz w:val="22"/>
          <w:szCs w:val="22"/>
        </w:rPr>
        <w:t>, this project demonstrates how well-scoped, clinically led IS adoption at the local level can yield tangible improvements in patient safety and operational efficiency. It serves as a model for how targeted, evidence-informed digital interventions can be scaled across the NHS if designed with frontline usability in mind.</w:t>
      </w:r>
    </w:p>
    <w:p w14:paraId="6C69A24E" w14:textId="77777777" w:rsidR="00F16D84" w:rsidRPr="009E2EBA" w:rsidRDefault="00F16D84" w:rsidP="00AF33BF">
      <w:pPr>
        <w:pStyle w:val="Heading3"/>
        <w:spacing w:line="480" w:lineRule="auto"/>
        <w:rPr>
          <w:rFonts w:ascii="Arial" w:hAnsi="Arial" w:cs="Arial"/>
          <w:b w:val="0"/>
          <w:bCs w:val="0"/>
          <w:sz w:val="22"/>
          <w:szCs w:val="22"/>
        </w:rPr>
      </w:pPr>
      <w:r w:rsidRPr="009E2EBA">
        <w:rPr>
          <w:rStyle w:val="Strong"/>
          <w:rFonts w:ascii="Arial" w:hAnsi="Arial" w:cs="Arial"/>
          <w:b/>
          <w:bCs/>
          <w:sz w:val="22"/>
          <w:szCs w:val="22"/>
        </w:rPr>
        <w:t>Synthesis and Critical Insight</w:t>
      </w:r>
    </w:p>
    <w:p w14:paraId="149E9A82" w14:textId="3E54B054" w:rsidR="00F16D84" w:rsidRPr="00AF33BF" w:rsidRDefault="00F16D84" w:rsidP="00AF33BF">
      <w:pPr>
        <w:pStyle w:val="NormalWeb"/>
        <w:spacing w:line="480" w:lineRule="auto"/>
        <w:rPr>
          <w:rFonts w:ascii="Arial" w:hAnsi="Arial" w:cs="Arial"/>
          <w:sz w:val="22"/>
          <w:szCs w:val="22"/>
        </w:rPr>
      </w:pPr>
      <w:r w:rsidRPr="00AF33BF">
        <w:rPr>
          <w:rFonts w:ascii="Arial" w:hAnsi="Arial" w:cs="Arial"/>
          <w:sz w:val="22"/>
          <w:szCs w:val="22"/>
        </w:rPr>
        <w:t xml:space="preserve">Overall, while most </w:t>
      </w:r>
      <w:r w:rsidRPr="00AF33BF">
        <w:rPr>
          <w:rFonts w:ascii="Arial" w:hAnsi="Arial" w:cs="Arial"/>
          <w:sz w:val="22"/>
          <w:szCs w:val="22"/>
        </w:rPr>
        <w:t>literature that’s been reviewed</w:t>
      </w:r>
      <w:r w:rsidRPr="00AF33BF">
        <w:rPr>
          <w:rFonts w:ascii="Arial" w:hAnsi="Arial" w:cs="Arial"/>
          <w:sz w:val="22"/>
          <w:szCs w:val="22"/>
        </w:rPr>
        <w:t xml:space="preserve"> agree on the transformative potential of IS in UK healthcare, there is a consensus that technology alone is insufficient.</w:t>
      </w:r>
      <w:r w:rsidRPr="00AF33BF">
        <w:rPr>
          <w:rFonts w:ascii="Arial" w:hAnsi="Arial" w:cs="Arial"/>
          <w:sz w:val="22"/>
          <w:szCs w:val="22"/>
        </w:rPr>
        <w:t xml:space="preserve"> As reflected in </w:t>
      </w:r>
      <w:r w:rsidRPr="00AF33BF">
        <w:rPr>
          <w:rFonts w:ascii="Arial" w:hAnsi="Arial" w:cs="Arial"/>
          <w:sz w:val="22"/>
          <w:szCs w:val="22"/>
        </w:rPr>
        <w:lastRenderedPageBreak/>
        <w:t xml:space="preserve">the GDE at </w:t>
      </w:r>
      <w:r w:rsidRPr="000D1130">
        <w:rPr>
          <w:rFonts w:ascii="Arial" w:hAnsi="Arial" w:cs="Arial"/>
          <w:sz w:val="22"/>
          <w:szCs w:val="22"/>
        </w:rPr>
        <w:t>Imperial College Healthcare NHS Trust</w:t>
      </w:r>
      <w:r w:rsidRPr="00AF33BF">
        <w:rPr>
          <w:rFonts w:ascii="Arial" w:hAnsi="Arial" w:cs="Arial"/>
          <w:sz w:val="22"/>
          <w:szCs w:val="22"/>
        </w:rPr>
        <w:t>,</w:t>
      </w:r>
      <w:r w:rsidRPr="00AF33BF">
        <w:rPr>
          <w:rFonts w:ascii="Arial" w:hAnsi="Arial" w:cs="Arial"/>
          <w:sz w:val="22"/>
          <w:szCs w:val="22"/>
        </w:rPr>
        <w:t xml:space="preserve"> </w:t>
      </w:r>
      <w:r w:rsidRPr="00AF33BF">
        <w:rPr>
          <w:rFonts w:ascii="Arial" w:hAnsi="Arial" w:cs="Arial"/>
          <w:sz w:val="22"/>
          <w:szCs w:val="22"/>
        </w:rPr>
        <w:t>e</w:t>
      </w:r>
      <w:r w:rsidRPr="00AF33BF">
        <w:rPr>
          <w:rFonts w:ascii="Arial" w:hAnsi="Arial" w:cs="Arial"/>
          <w:sz w:val="22"/>
          <w:szCs w:val="22"/>
        </w:rPr>
        <w:t xml:space="preserve">ffective transformation demands alignment with policy, workflow integration, staff engagement, and continuous evaluation. </w:t>
      </w:r>
      <w:r w:rsidRPr="00AF33BF">
        <w:rPr>
          <w:rFonts w:ascii="Arial" w:hAnsi="Arial" w:cs="Arial"/>
          <w:sz w:val="22"/>
          <w:szCs w:val="22"/>
        </w:rPr>
        <w:t xml:space="preserve">An observation is that the literature often stops </w:t>
      </w:r>
      <w:r w:rsidRPr="00AF33BF">
        <w:rPr>
          <w:rFonts w:ascii="Arial" w:hAnsi="Arial" w:cs="Arial"/>
          <w:sz w:val="22"/>
          <w:szCs w:val="22"/>
        </w:rPr>
        <w:t>short of exploring long-term sustainability and patient-level impact</w:t>
      </w:r>
      <w:r w:rsidR="00F34F52" w:rsidRPr="00AF33BF">
        <w:rPr>
          <w:rFonts w:ascii="Arial" w:hAnsi="Arial" w:cs="Arial"/>
          <w:sz w:val="22"/>
          <w:szCs w:val="22"/>
        </w:rPr>
        <w:t>- essential</w:t>
      </w:r>
      <w:r w:rsidRPr="00AF33BF">
        <w:rPr>
          <w:rFonts w:ascii="Arial" w:hAnsi="Arial" w:cs="Arial"/>
          <w:sz w:val="22"/>
          <w:szCs w:val="22"/>
        </w:rPr>
        <w:t xml:space="preserve"> areas for future research.</w:t>
      </w:r>
    </w:p>
    <w:p w14:paraId="661B6EAA" w14:textId="51784372" w:rsidR="00BA6047" w:rsidRPr="009E2EBA" w:rsidRDefault="00BA6047" w:rsidP="00AF33BF">
      <w:pPr>
        <w:pStyle w:val="Heading2"/>
        <w:spacing w:line="480" w:lineRule="auto"/>
        <w:rPr>
          <w:rFonts w:ascii="Arial" w:hAnsi="Arial" w:cs="Arial"/>
          <w:b/>
          <w:bCs/>
          <w:sz w:val="22"/>
          <w:szCs w:val="22"/>
        </w:rPr>
      </w:pPr>
      <w:r w:rsidRPr="009E2EBA">
        <w:rPr>
          <w:rFonts w:ascii="Arial" w:hAnsi="Arial" w:cs="Arial"/>
          <w:b/>
          <w:bCs/>
          <w:color w:val="000000" w:themeColor="text1"/>
          <w:sz w:val="22"/>
          <w:szCs w:val="22"/>
        </w:rPr>
        <w:t>Methodological and Research Design Critique</w:t>
      </w:r>
    </w:p>
    <w:p w14:paraId="45714E8B" w14:textId="7038B867" w:rsidR="00BA6047" w:rsidRPr="00AF33BF" w:rsidRDefault="00BA6047" w:rsidP="00AF33BF">
      <w:pPr>
        <w:pStyle w:val="NormalWeb"/>
        <w:spacing w:line="480" w:lineRule="auto"/>
        <w:rPr>
          <w:rFonts w:ascii="Arial" w:hAnsi="Arial" w:cs="Arial"/>
          <w:sz w:val="22"/>
          <w:szCs w:val="22"/>
        </w:rPr>
      </w:pPr>
      <w:r w:rsidRPr="00AF33BF">
        <w:rPr>
          <w:rFonts w:ascii="Arial" w:hAnsi="Arial" w:cs="Arial"/>
          <w:sz w:val="22"/>
          <w:szCs w:val="22"/>
        </w:rPr>
        <w:t xml:space="preserve">The literature on UK healthcare IS employs a diverse methodological palette, ranging from </w:t>
      </w:r>
      <w:r w:rsidRPr="00AF33BF">
        <w:rPr>
          <w:rStyle w:val="Strong"/>
          <w:rFonts w:ascii="Arial" w:hAnsi="Arial" w:cs="Arial"/>
          <w:b w:val="0"/>
          <w:bCs w:val="0"/>
          <w:sz w:val="22"/>
          <w:szCs w:val="22"/>
        </w:rPr>
        <w:t>meta-narrative systematic reviews</w:t>
      </w:r>
      <w:r w:rsidRPr="00AF33BF">
        <w:rPr>
          <w:rFonts w:ascii="Arial" w:hAnsi="Arial" w:cs="Arial"/>
          <w:sz w:val="22"/>
          <w:szCs w:val="22"/>
        </w:rPr>
        <w:t xml:space="preserve"> (Greenhalgh et al., 2009) and </w:t>
      </w:r>
      <w:r w:rsidRPr="00AF33BF">
        <w:rPr>
          <w:rStyle w:val="Strong"/>
          <w:rFonts w:ascii="Arial" w:hAnsi="Arial" w:cs="Arial"/>
          <w:b w:val="0"/>
          <w:bCs w:val="0"/>
          <w:sz w:val="22"/>
          <w:szCs w:val="22"/>
        </w:rPr>
        <w:t>government performance audits</w:t>
      </w:r>
      <w:r w:rsidRPr="00AF33BF">
        <w:rPr>
          <w:rFonts w:ascii="Arial" w:hAnsi="Arial" w:cs="Arial"/>
          <w:sz w:val="22"/>
          <w:szCs w:val="22"/>
        </w:rPr>
        <w:t xml:space="preserve"> (NAO, 2013) to </w:t>
      </w:r>
      <w:r w:rsidRPr="00AF33BF">
        <w:rPr>
          <w:rStyle w:val="Strong"/>
          <w:rFonts w:ascii="Arial" w:hAnsi="Arial" w:cs="Arial"/>
          <w:b w:val="0"/>
          <w:bCs w:val="0"/>
          <w:sz w:val="22"/>
          <w:szCs w:val="22"/>
        </w:rPr>
        <w:t>single-site case studies</w:t>
      </w:r>
      <w:r w:rsidRPr="00AF33BF">
        <w:rPr>
          <w:rFonts w:ascii="Arial" w:hAnsi="Arial" w:cs="Arial"/>
          <w:sz w:val="22"/>
          <w:szCs w:val="22"/>
        </w:rPr>
        <w:t xml:space="preserve"> such as the Imperial GDE maternity project and </w:t>
      </w:r>
      <w:r w:rsidRPr="00AF33BF">
        <w:rPr>
          <w:rStyle w:val="Strong"/>
          <w:rFonts w:ascii="Arial" w:hAnsi="Arial" w:cs="Arial"/>
          <w:b w:val="0"/>
          <w:bCs w:val="0"/>
          <w:sz w:val="22"/>
          <w:szCs w:val="22"/>
        </w:rPr>
        <w:t>cross-sectional clinician surveys</w:t>
      </w:r>
      <w:r w:rsidRPr="00AF33BF">
        <w:rPr>
          <w:rFonts w:ascii="Arial" w:hAnsi="Arial" w:cs="Arial"/>
          <w:sz w:val="22"/>
          <w:szCs w:val="22"/>
        </w:rPr>
        <w:t xml:space="preserve"> exploring EPR-related burnout (</w:t>
      </w:r>
      <w:proofErr w:type="spellStart"/>
      <w:r w:rsidRPr="00AF33BF">
        <w:rPr>
          <w:rFonts w:ascii="Arial" w:hAnsi="Arial" w:cs="Arial"/>
          <w:sz w:val="22"/>
          <w:szCs w:val="22"/>
        </w:rPr>
        <w:t>Alobayli</w:t>
      </w:r>
      <w:proofErr w:type="spellEnd"/>
      <w:r w:rsidRPr="00AF33BF">
        <w:rPr>
          <w:rFonts w:ascii="Arial" w:hAnsi="Arial" w:cs="Arial"/>
          <w:sz w:val="22"/>
          <w:szCs w:val="22"/>
        </w:rPr>
        <w:t xml:space="preserve"> et al., 2023). These mixed approaches generate a rich, practice-anchored evidence base and allow researchers to triangulate findings with theory-driven lenses</w:t>
      </w:r>
      <w:r w:rsidR="00A36385" w:rsidRPr="00AF33BF">
        <w:rPr>
          <w:rFonts w:ascii="Arial" w:hAnsi="Arial" w:cs="Arial"/>
          <w:sz w:val="22"/>
          <w:szCs w:val="22"/>
        </w:rPr>
        <w:t>, i</w:t>
      </w:r>
      <w:r w:rsidRPr="00AF33BF">
        <w:rPr>
          <w:rFonts w:ascii="Arial" w:hAnsi="Arial" w:cs="Arial"/>
          <w:sz w:val="22"/>
          <w:szCs w:val="22"/>
        </w:rPr>
        <w:t xml:space="preserve">ncluding the Technology Acceptance Model (Davis, 1989; Holden &amp; Karsh, 2010) and the </w:t>
      </w:r>
      <w:proofErr w:type="spellStart"/>
      <w:r w:rsidRPr="00AF33BF">
        <w:rPr>
          <w:rFonts w:ascii="Arial" w:hAnsi="Arial" w:cs="Arial"/>
          <w:sz w:val="22"/>
          <w:szCs w:val="22"/>
        </w:rPr>
        <w:t>DeLone</w:t>
      </w:r>
      <w:proofErr w:type="spellEnd"/>
      <w:r w:rsidRPr="00AF33BF">
        <w:rPr>
          <w:rFonts w:ascii="Arial" w:hAnsi="Arial" w:cs="Arial"/>
          <w:sz w:val="22"/>
          <w:szCs w:val="22"/>
        </w:rPr>
        <w:t xml:space="preserve"> &amp; McLean IS Success Model (Scott et al., 2017).</w:t>
      </w:r>
    </w:p>
    <w:p w14:paraId="26DEFBB8" w14:textId="77777777" w:rsidR="00BA6047" w:rsidRPr="00AF33BF" w:rsidRDefault="00BA6047" w:rsidP="00AF33BF">
      <w:pPr>
        <w:pStyle w:val="NormalWeb"/>
        <w:spacing w:line="480" w:lineRule="auto"/>
        <w:rPr>
          <w:rFonts w:ascii="Arial" w:hAnsi="Arial" w:cs="Arial"/>
          <w:sz w:val="22"/>
          <w:szCs w:val="22"/>
        </w:rPr>
      </w:pPr>
      <w:r w:rsidRPr="00AF33BF">
        <w:rPr>
          <w:rFonts w:ascii="Arial" w:hAnsi="Arial" w:cs="Arial"/>
          <w:sz w:val="22"/>
          <w:szCs w:val="22"/>
        </w:rPr>
        <w:t xml:space="preserve">Nevertheless, several methodological weaknesses recur. </w:t>
      </w:r>
      <w:r w:rsidRPr="00AF33BF">
        <w:rPr>
          <w:rStyle w:val="Strong"/>
          <w:rFonts w:ascii="Arial" w:hAnsi="Arial" w:cs="Arial"/>
          <w:b w:val="0"/>
          <w:bCs w:val="0"/>
          <w:sz w:val="22"/>
          <w:szCs w:val="22"/>
        </w:rPr>
        <w:t>Evaluation windows are often short</w:t>
      </w:r>
      <w:r w:rsidRPr="00AF33BF">
        <w:rPr>
          <w:rFonts w:ascii="Arial" w:hAnsi="Arial" w:cs="Arial"/>
          <w:sz w:val="22"/>
          <w:szCs w:val="22"/>
        </w:rPr>
        <w:t xml:space="preserve">, capturing implementation “go-live” rather than long-term clinical or economic impact. Many quantitative studies rely on </w:t>
      </w:r>
      <w:r w:rsidRPr="00AF33BF">
        <w:rPr>
          <w:rStyle w:val="Strong"/>
          <w:rFonts w:ascii="Arial" w:hAnsi="Arial" w:cs="Arial"/>
          <w:b w:val="0"/>
          <w:bCs w:val="0"/>
          <w:sz w:val="22"/>
          <w:szCs w:val="22"/>
        </w:rPr>
        <w:t>self-reported usability or satisfaction metrics</w:t>
      </w:r>
      <w:r w:rsidRPr="00AF33BF">
        <w:rPr>
          <w:rFonts w:ascii="Arial" w:hAnsi="Arial" w:cs="Arial"/>
          <w:sz w:val="22"/>
          <w:szCs w:val="22"/>
        </w:rPr>
        <w:t xml:space="preserve">, which are vulnerable to response bias, while qualitative work sometimes lacks explicit reflexivity on researcher influence. </w:t>
      </w:r>
      <w:r w:rsidRPr="00AF33BF">
        <w:rPr>
          <w:rStyle w:val="Strong"/>
          <w:rFonts w:ascii="Arial" w:hAnsi="Arial" w:cs="Arial"/>
          <w:b w:val="0"/>
          <w:bCs w:val="0"/>
          <w:sz w:val="22"/>
          <w:szCs w:val="22"/>
        </w:rPr>
        <w:t>Patient perspectives and equity impacts remain under-represented</w:t>
      </w:r>
      <w:r w:rsidRPr="00AF33BF">
        <w:rPr>
          <w:rFonts w:ascii="Arial" w:hAnsi="Arial" w:cs="Arial"/>
          <w:sz w:val="22"/>
          <w:szCs w:val="22"/>
        </w:rPr>
        <w:t xml:space="preserve">, despite policy imperatives for person-centred care. Economic analyses typically focus on headline cost savings; few adopt full </w:t>
      </w:r>
      <w:r w:rsidRPr="00AF33BF">
        <w:rPr>
          <w:rStyle w:val="Strong"/>
          <w:rFonts w:ascii="Arial" w:hAnsi="Arial" w:cs="Arial"/>
          <w:b w:val="0"/>
          <w:bCs w:val="0"/>
          <w:sz w:val="22"/>
          <w:szCs w:val="22"/>
        </w:rPr>
        <w:t>cost-effectiveness or cost–benefit frameworks</w:t>
      </w:r>
      <w:r w:rsidRPr="00AF33BF">
        <w:rPr>
          <w:rFonts w:ascii="Arial" w:hAnsi="Arial" w:cs="Arial"/>
          <w:sz w:val="22"/>
          <w:szCs w:val="22"/>
        </w:rPr>
        <w:t xml:space="preserve"> that account for training, maintenance, and cyber-security outlays. Finally, generalisability is constrained: single-Trust case studies provide depth yet struggle to accommodate the heterogeneity of NHS digital maturity.</w:t>
      </w:r>
    </w:p>
    <w:p w14:paraId="0CD75F11" w14:textId="6B272D76" w:rsidR="00A36385" w:rsidRPr="00AF33BF" w:rsidRDefault="00BA6047" w:rsidP="00AF33BF">
      <w:pPr>
        <w:pStyle w:val="NormalWeb"/>
        <w:spacing w:line="480" w:lineRule="auto"/>
        <w:rPr>
          <w:rFonts w:ascii="Arial" w:hAnsi="Arial" w:cs="Arial"/>
          <w:sz w:val="22"/>
          <w:szCs w:val="22"/>
        </w:rPr>
      </w:pPr>
      <w:r w:rsidRPr="00AF33BF">
        <w:rPr>
          <w:rFonts w:ascii="Arial" w:hAnsi="Arial" w:cs="Arial"/>
          <w:sz w:val="22"/>
          <w:szCs w:val="22"/>
        </w:rPr>
        <w:t xml:space="preserve">Future research would benefit from </w:t>
      </w:r>
      <w:r w:rsidRPr="00AF33BF">
        <w:rPr>
          <w:rStyle w:val="Strong"/>
          <w:rFonts w:ascii="Arial" w:hAnsi="Arial" w:cs="Arial"/>
          <w:b w:val="0"/>
          <w:bCs w:val="0"/>
          <w:sz w:val="22"/>
          <w:szCs w:val="22"/>
        </w:rPr>
        <w:t xml:space="preserve">longitudinal, multi-site </w:t>
      </w:r>
      <w:r w:rsidR="003977FE" w:rsidRPr="00AF33BF">
        <w:rPr>
          <w:rStyle w:val="Strong"/>
          <w:rFonts w:ascii="Arial" w:hAnsi="Arial" w:cs="Arial"/>
          <w:b w:val="0"/>
          <w:bCs w:val="0"/>
          <w:sz w:val="22"/>
          <w:szCs w:val="22"/>
        </w:rPr>
        <w:t>mixed methods</w:t>
      </w:r>
      <w:r w:rsidRPr="00AF33BF">
        <w:rPr>
          <w:rStyle w:val="Strong"/>
          <w:rFonts w:ascii="Arial" w:hAnsi="Arial" w:cs="Arial"/>
          <w:b w:val="0"/>
          <w:bCs w:val="0"/>
          <w:sz w:val="22"/>
          <w:szCs w:val="22"/>
        </w:rPr>
        <w:t xml:space="preserve"> designs</w:t>
      </w:r>
      <w:r w:rsidRPr="00AF33BF">
        <w:rPr>
          <w:rFonts w:ascii="Arial" w:hAnsi="Arial" w:cs="Arial"/>
          <w:sz w:val="22"/>
          <w:szCs w:val="22"/>
        </w:rPr>
        <w:t xml:space="preserve"> that integrate realist or sociotechnical evaluation, apply </w:t>
      </w:r>
      <w:r w:rsidRPr="00AF33BF">
        <w:rPr>
          <w:rStyle w:val="Strong"/>
          <w:rFonts w:ascii="Arial" w:hAnsi="Arial" w:cs="Arial"/>
          <w:b w:val="0"/>
          <w:bCs w:val="0"/>
          <w:sz w:val="22"/>
          <w:szCs w:val="22"/>
        </w:rPr>
        <w:t>standardised outcome sets</w:t>
      </w:r>
      <w:r w:rsidRPr="00AF33BF">
        <w:rPr>
          <w:rFonts w:ascii="Arial" w:hAnsi="Arial" w:cs="Arial"/>
          <w:sz w:val="22"/>
          <w:szCs w:val="22"/>
        </w:rPr>
        <w:t xml:space="preserve"> (clinical, </w:t>
      </w:r>
      <w:r w:rsidRPr="00AF33BF">
        <w:rPr>
          <w:rFonts w:ascii="Arial" w:hAnsi="Arial" w:cs="Arial"/>
          <w:sz w:val="22"/>
          <w:szCs w:val="22"/>
        </w:rPr>
        <w:lastRenderedPageBreak/>
        <w:t xml:space="preserve">experiential, economic), and privilege the </w:t>
      </w:r>
      <w:r w:rsidRPr="00AF33BF">
        <w:rPr>
          <w:rStyle w:val="Strong"/>
          <w:rFonts w:ascii="Arial" w:hAnsi="Arial" w:cs="Arial"/>
          <w:b w:val="0"/>
          <w:bCs w:val="0"/>
          <w:sz w:val="22"/>
          <w:szCs w:val="22"/>
        </w:rPr>
        <w:t>patient voice</w:t>
      </w:r>
      <w:r w:rsidRPr="00AF33BF">
        <w:rPr>
          <w:rFonts w:ascii="Arial" w:hAnsi="Arial" w:cs="Arial"/>
          <w:sz w:val="22"/>
          <w:szCs w:val="22"/>
        </w:rPr>
        <w:t xml:space="preserve"> alongside clinical and managerial perspectives. Incorporating rigorous cyber-resilience assessments and equity analytics will also close critical evidence gaps.</w:t>
      </w:r>
    </w:p>
    <w:p w14:paraId="744C5FB1" w14:textId="28CF1C66" w:rsidR="00A36385" w:rsidRPr="009E2EBA" w:rsidRDefault="00A36385" w:rsidP="00AF33BF">
      <w:pPr>
        <w:pStyle w:val="NormalWeb"/>
        <w:spacing w:line="480" w:lineRule="auto"/>
        <w:rPr>
          <w:rFonts w:ascii="Arial" w:hAnsi="Arial" w:cs="Arial"/>
          <w:b/>
          <w:bCs/>
          <w:sz w:val="22"/>
          <w:szCs w:val="22"/>
        </w:rPr>
      </w:pPr>
      <w:r w:rsidRPr="009E2EBA">
        <w:rPr>
          <w:rFonts w:ascii="Arial" w:hAnsi="Arial" w:cs="Arial"/>
          <w:b/>
          <w:bCs/>
          <w:sz w:val="22"/>
          <w:szCs w:val="22"/>
        </w:rPr>
        <w:t>Conclusion</w:t>
      </w:r>
    </w:p>
    <w:p w14:paraId="0A318BE1" w14:textId="77777777" w:rsidR="00A36385" w:rsidRPr="00A36385" w:rsidRDefault="00A36385" w:rsidP="00AF33BF">
      <w:pPr>
        <w:spacing w:before="100" w:beforeAutospacing="1" w:after="100" w:afterAutospacing="1" w:line="480" w:lineRule="auto"/>
        <w:rPr>
          <w:rFonts w:ascii="Arial" w:hAnsi="Arial" w:cs="Arial"/>
          <w:sz w:val="22"/>
          <w:szCs w:val="22"/>
        </w:rPr>
      </w:pPr>
      <w:r w:rsidRPr="00A36385">
        <w:rPr>
          <w:rFonts w:ascii="Arial" w:hAnsi="Arial" w:cs="Arial"/>
          <w:sz w:val="22"/>
          <w:szCs w:val="22"/>
        </w:rPr>
        <w:t>This review shows that Information Systems have become integral to the NHS transformation agenda, delivering measurable improvements in clinical decision-making, patient safety and population-health analytics. Yet the expected benefits are still moderated by stubborn barriers, including interoperability deficits, increased clinician workload, ongoing cyber-security threats and inconsistent data standards. The experience of Imperial College Healthcare NHS Trust’s maternity service illustrates how clinician-led, user-centred design, backed by robust infrastructure and responsive change management, can translate digital ambition into tangible gains in care quality and workflow efficiency. In stark contrast, the collapse of the National Programme for IT highlights the financial and organisational costs that arise when large-scale initiatives are launched without sufficient stakeholder engagement, realistic timelines or flexible governance.</w:t>
      </w:r>
    </w:p>
    <w:p w14:paraId="29CFE44C" w14:textId="77777777" w:rsidR="00A36385" w:rsidRPr="00A36385" w:rsidRDefault="00A36385" w:rsidP="00AF33BF">
      <w:pPr>
        <w:spacing w:before="100" w:beforeAutospacing="1" w:after="100" w:afterAutospacing="1" w:line="480" w:lineRule="auto"/>
        <w:rPr>
          <w:rFonts w:ascii="Arial" w:hAnsi="Arial" w:cs="Arial"/>
          <w:sz w:val="22"/>
          <w:szCs w:val="22"/>
        </w:rPr>
      </w:pPr>
      <w:r w:rsidRPr="00A36385">
        <w:rPr>
          <w:rFonts w:ascii="Arial" w:hAnsi="Arial" w:cs="Arial"/>
          <w:sz w:val="22"/>
          <w:szCs w:val="22"/>
        </w:rPr>
        <w:t>Taken together, the literature suggests that future progress will depend on aligning policy and governance with open data standards, embedding sociotechnical principles that fit technology to clinical practice, and instituting rigorous, longitudinal evaluations that capture patient outcomes, economic value and cyber-resilience. Addressing these interlinked priorities through multi-disciplinary, equity-focused research will help steer the NHS towards a digitally mature, patient-centred future and ensure that information systems fulfil their transformative promise across the UK healthcare landscape.</w:t>
      </w:r>
    </w:p>
    <w:p w14:paraId="1A55C57A" w14:textId="77777777" w:rsidR="00A36385" w:rsidRPr="00AF33BF" w:rsidRDefault="00A36385" w:rsidP="00AF33BF">
      <w:pPr>
        <w:pStyle w:val="NormalWeb"/>
        <w:spacing w:line="480" w:lineRule="auto"/>
        <w:rPr>
          <w:rFonts w:ascii="Arial" w:hAnsi="Arial" w:cs="Arial"/>
          <w:sz w:val="22"/>
          <w:szCs w:val="22"/>
        </w:rPr>
      </w:pPr>
    </w:p>
    <w:p w14:paraId="24768999" w14:textId="77777777" w:rsidR="009E2EBA" w:rsidRDefault="009E2EBA" w:rsidP="00AF33BF">
      <w:pPr>
        <w:spacing w:line="480" w:lineRule="auto"/>
        <w:rPr>
          <w:rFonts w:ascii="Arial" w:hAnsi="Arial" w:cs="Arial"/>
          <w:sz w:val="22"/>
          <w:szCs w:val="22"/>
        </w:rPr>
      </w:pPr>
    </w:p>
    <w:p w14:paraId="1DDAAB14" w14:textId="77777777" w:rsidR="009E2EBA" w:rsidRDefault="009E2EBA" w:rsidP="00AF33BF">
      <w:pPr>
        <w:spacing w:line="480" w:lineRule="auto"/>
        <w:rPr>
          <w:rFonts w:ascii="Arial" w:hAnsi="Arial" w:cs="Arial"/>
          <w:sz w:val="22"/>
          <w:szCs w:val="22"/>
        </w:rPr>
      </w:pPr>
    </w:p>
    <w:p w14:paraId="64659EC0" w14:textId="68E1DEC7" w:rsidR="00B764E9" w:rsidRPr="009E2EBA" w:rsidRDefault="00BC3272" w:rsidP="00AF33BF">
      <w:pPr>
        <w:spacing w:line="480" w:lineRule="auto"/>
        <w:rPr>
          <w:rFonts w:ascii="Arial" w:hAnsi="Arial" w:cs="Arial"/>
          <w:b/>
          <w:bCs/>
          <w:sz w:val="22"/>
          <w:szCs w:val="22"/>
        </w:rPr>
      </w:pPr>
      <w:r w:rsidRPr="009E2EBA">
        <w:rPr>
          <w:rFonts w:ascii="Arial" w:hAnsi="Arial" w:cs="Arial"/>
          <w:b/>
          <w:bCs/>
          <w:sz w:val="22"/>
          <w:szCs w:val="22"/>
        </w:rPr>
        <w:lastRenderedPageBreak/>
        <w:t>References</w:t>
      </w:r>
    </w:p>
    <w:p w14:paraId="4560362B" w14:textId="77777777" w:rsidR="00BC3272" w:rsidRPr="00AF33BF" w:rsidRDefault="00BC3272" w:rsidP="00AF33BF">
      <w:pPr>
        <w:pStyle w:val="NormalWeb"/>
        <w:spacing w:line="480" w:lineRule="auto"/>
        <w:rPr>
          <w:rFonts w:ascii="Arial" w:hAnsi="Arial" w:cs="Arial"/>
          <w:sz w:val="22"/>
          <w:szCs w:val="22"/>
        </w:rPr>
      </w:pPr>
      <w:proofErr w:type="spellStart"/>
      <w:r w:rsidRPr="00AF33BF">
        <w:rPr>
          <w:rFonts w:ascii="Arial" w:hAnsi="Arial" w:cs="Arial"/>
          <w:sz w:val="22"/>
          <w:szCs w:val="22"/>
        </w:rPr>
        <w:t>Alobayli</w:t>
      </w:r>
      <w:proofErr w:type="spellEnd"/>
      <w:r w:rsidRPr="00AF33BF">
        <w:rPr>
          <w:rFonts w:ascii="Arial" w:hAnsi="Arial" w:cs="Arial"/>
          <w:sz w:val="22"/>
          <w:szCs w:val="22"/>
        </w:rPr>
        <w:t xml:space="preserve">, F., O’Connor, S., Holloway, A. and </w:t>
      </w:r>
      <w:proofErr w:type="spellStart"/>
      <w:r w:rsidRPr="00AF33BF">
        <w:rPr>
          <w:rFonts w:ascii="Arial" w:hAnsi="Arial" w:cs="Arial"/>
          <w:sz w:val="22"/>
          <w:szCs w:val="22"/>
        </w:rPr>
        <w:t>Cresswell</w:t>
      </w:r>
      <w:proofErr w:type="spellEnd"/>
      <w:r w:rsidRPr="00AF33BF">
        <w:rPr>
          <w:rFonts w:ascii="Arial" w:hAnsi="Arial" w:cs="Arial"/>
          <w:sz w:val="22"/>
          <w:szCs w:val="22"/>
        </w:rPr>
        <w:t xml:space="preserve">, K. (2023) ‘Electronic health record stress and burnout among clinicians in hospital settings: a systematic review’, </w:t>
      </w:r>
      <w:r w:rsidRPr="00AF33BF">
        <w:rPr>
          <w:rStyle w:val="Emphasis"/>
          <w:rFonts w:ascii="Arial" w:hAnsi="Arial" w:cs="Arial"/>
          <w:sz w:val="22"/>
          <w:szCs w:val="22"/>
        </w:rPr>
        <w:t>Digital Health</w:t>
      </w:r>
      <w:r w:rsidRPr="00AF33BF">
        <w:rPr>
          <w:rFonts w:ascii="Arial" w:hAnsi="Arial" w:cs="Arial"/>
          <w:sz w:val="22"/>
          <w:szCs w:val="22"/>
        </w:rPr>
        <w:t>, 9, pp. 1–17. Available at: https://doi.org/10.1177/20552076231157391 (Accessed 7 June 2025).</w:t>
      </w:r>
    </w:p>
    <w:p w14:paraId="170ADB87" w14:textId="77777777" w:rsidR="00BC3272" w:rsidRPr="00AF33BF" w:rsidRDefault="00BC3272" w:rsidP="00AF33BF">
      <w:pPr>
        <w:pStyle w:val="NormalWeb"/>
        <w:spacing w:line="480" w:lineRule="auto"/>
        <w:rPr>
          <w:rFonts w:ascii="Arial" w:hAnsi="Arial" w:cs="Arial"/>
          <w:sz w:val="22"/>
          <w:szCs w:val="22"/>
        </w:rPr>
      </w:pPr>
      <w:proofErr w:type="spellStart"/>
      <w:r w:rsidRPr="00AF33BF">
        <w:rPr>
          <w:rFonts w:ascii="Arial" w:hAnsi="Arial" w:cs="Arial"/>
          <w:sz w:val="22"/>
          <w:szCs w:val="22"/>
        </w:rPr>
        <w:t>Cresswell</w:t>
      </w:r>
      <w:proofErr w:type="spellEnd"/>
      <w:r w:rsidRPr="00AF33BF">
        <w:rPr>
          <w:rFonts w:ascii="Arial" w:hAnsi="Arial" w:cs="Arial"/>
          <w:sz w:val="22"/>
          <w:szCs w:val="22"/>
        </w:rPr>
        <w:t xml:space="preserve">, K.M. and Sheikh, A. (2015) ‘Health information technology in hospitals: current issues and future trends’, </w:t>
      </w:r>
      <w:r w:rsidRPr="00AF33BF">
        <w:rPr>
          <w:rStyle w:val="Emphasis"/>
          <w:rFonts w:ascii="Arial" w:hAnsi="Arial" w:cs="Arial"/>
          <w:sz w:val="22"/>
          <w:szCs w:val="22"/>
        </w:rPr>
        <w:t>Future Hospital Journal</w:t>
      </w:r>
      <w:r w:rsidRPr="00AF33BF">
        <w:rPr>
          <w:rFonts w:ascii="Arial" w:hAnsi="Arial" w:cs="Arial"/>
          <w:sz w:val="22"/>
          <w:szCs w:val="22"/>
        </w:rPr>
        <w:t xml:space="preserve">, 2(1), pp. 50–56. Available at: </w:t>
      </w:r>
      <w:hyperlink r:id="rId5" w:tgtFrame="_new" w:history="1">
        <w:r w:rsidRPr="00AF33BF">
          <w:rPr>
            <w:rStyle w:val="Hyperlink"/>
            <w:rFonts w:ascii="Arial" w:hAnsi="Arial" w:cs="Arial"/>
            <w:sz w:val="22"/>
            <w:szCs w:val="22"/>
          </w:rPr>
          <w:t>https://doi.org/10.7861/futurehosp.2-1-50</w:t>
        </w:r>
      </w:hyperlink>
      <w:r w:rsidRPr="00AF33BF">
        <w:rPr>
          <w:rFonts w:ascii="Arial" w:hAnsi="Arial" w:cs="Arial"/>
          <w:sz w:val="22"/>
          <w:szCs w:val="22"/>
        </w:rPr>
        <w:t>.</w:t>
      </w:r>
    </w:p>
    <w:p w14:paraId="16947D99"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t xml:space="preserve">Davis, F.D. (1989) ‘Perceived usefulness, perceived ease of use, and user acceptance of information technology’, </w:t>
      </w:r>
      <w:r w:rsidRPr="00AF33BF">
        <w:rPr>
          <w:rStyle w:val="Emphasis"/>
          <w:rFonts w:ascii="Arial" w:hAnsi="Arial" w:cs="Arial"/>
          <w:sz w:val="22"/>
          <w:szCs w:val="22"/>
        </w:rPr>
        <w:t>MIS Quarterly</w:t>
      </w:r>
      <w:r w:rsidRPr="00AF33BF">
        <w:rPr>
          <w:rFonts w:ascii="Arial" w:hAnsi="Arial" w:cs="Arial"/>
          <w:sz w:val="22"/>
          <w:szCs w:val="22"/>
        </w:rPr>
        <w:t xml:space="preserve">, 13(3), pp. 319–340. Available at: </w:t>
      </w:r>
      <w:hyperlink r:id="rId6" w:tgtFrame="_new" w:history="1">
        <w:r w:rsidRPr="00AF33BF">
          <w:rPr>
            <w:rStyle w:val="Hyperlink"/>
            <w:rFonts w:ascii="Arial" w:hAnsi="Arial" w:cs="Arial"/>
            <w:sz w:val="22"/>
            <w:szCs w:val="22"/>
          </w:rPr>
          <w:t>https://doi.org/10.2307/249008</w:t>
        </w:r>
      </w:hyperlink>
      <w:r w:rsidRPr="00AF33BF">
        <w:rPr>
          <w:rFonts w:ascii="Arial" w:hAnsi="Arial" w:cs="Arial"/>
          <w:sz w:val="22"/>
          <w:szCs w:val="22"/>
        </w:rPr>
        <w:t>.</w:t>
      </w:r>
    </w:p>
    <w:p w14:paraId="59A308DC" w14:textId="77777777" w:rsidR="00BC3272" w:rsidRPr="00AF33BF" w:rsidRDefault="00BC3272" w:rsidP="00AF33BF">
      <w:pPr>
        <w:pStyle w:val="NormalWeb"/>
        <w:spacing w:line="480" w:lineRule="auto"/>
        <w:rPr>
          <w:rFonts w:ascii="Arial" w:hAnsi="Arial" w:cs="Arial"/>
          <w:sz w:val="22"/>
          <w:szCs w:val="22"/>
        </w:rPr>
      </w:pPr>
      <w:proofErr w:type="spellStart"/>
      <w:r w:rsidRPr="00AF33BF">
        <w:rPr>
          <w:rFonts w:ascii="Arial" w:hAnsi="Arial" w:cs="Arial"/>
          <w:sz w:val="22"/>
          <w:szCs w:val="22"/>
        </w:rPr>
        <w:t>DeLone</w:t>
      </w:r>
      <w:proofErr w:type="spellEnd"/>
      <w:r w:rsidRPr="00AF33BF">
        <w:rPr>
          <w:rFonts w:ascii="Arial" w:hAnsi="Arial" w:cs="Arial"/>
          <w:sz w:val="22"/>
          <w:szCs w:val="22"/>
        </w:rPr>
        <w:t xml:space="preserve">, W.H. and McLean, E.R. (2003) ‘The </w:t>
      </w:r>
      <w:proofErr w:type="spellStart"/>
      <w:r w:rsidRPr="00AF33BF">
        <w:rPr>
          <w:rFonts w:ascii="Arial" w:hAnsi="Arial" w:cs="Arial"/>
          <w:sz w:val="22"/>
          <w:szCs w:val="22"/>
        </w:rPr>
        <w:t>DeLone</w:t>
      </w:r>
      <w:proofErr w:type="spellEnd"/>
      <w:r w:rsidRPr="00AF33BF">
        <w:rPr>
          <w:rFonts w:ascii="Arial" w:hAnsi="Arial" w:cs="Arial"/>
          <w:sz w:val="22"/>
          <w:szCs w:val="22"/>
        </w:rPr>
        <w:t xml:space="preserve"> and McLean model of information systems success: a ten-year update’, </w:t>
      </w:r>
      <w:r w:rsidRPr="00AF33BF">
        <w:rPr>
          <w:rStyle w:val="Emphasis"/>
          <w:rFonts w:ascii="Arial" w:hAnsi="Arial" w:cs="Arial"/>
          <w:sz w:val="22"/>
          <w:szCs w:val="22"/>
        </w:rPr>
        <w:t>Journal of Management Information Systems</w:t>
      </w:r>
      <w:r w:rsidRPr="00AF33BF">
        <w:rPr>
          <w:rFonts w:ascii="Arial" w:hAnsi="Arial" w:cs="Arial"/>
          <w:sz w:val="22"/>
          <w:szCs w:val="22"/>
        </w:rPr>
        <w:t xml:space="preserve">, 19(4), pp. 9–30. Available at: </w:t>
      </w:r>
      <w:hyperlink r:id="rId7" w:tgtFrame="_new" w:history="1">
        <w:r w:rsidRPr="00AF33BF">
          <w:rPr>
            <w:rStyle w:val="Hyperlink"/>
            <w:rFonts w:ascii="Arial" w:hAnsi="Arial" w:cs="Arial"/>
            <w:sz w:val="22"/>
            <w:szCs w:val="22"/>
          </w:rPr>
          <w:t>https://doi.org/10.1080/07421222.2003.11045748</w:t>
        </w:r>
      </w:hyperlink>
      <w:r w:rsidRPr="00AF33BF">
        <w:rPr>
          <w:rFonts w:ascii="Arial" w:hAnsi="Arial" w:cs="Arial"/>
          <w:sz w:val="22"/>
          <w:szCs w:val="22"/>
        </w:rPr>
        <w:t>.</w:t>
      </w:r>
    </w:p>
    <w:p w14:paraId="5E97B530" w14:textId="77777777" w:rsidR="00BC3272" w:rsidRPr="00AF33BF" w:rsidRDefault="00BC3272" w:rsidP="00AF33BF">
      <w:pPr>
        <w:pStyle w:val="NormalWeb"/>
        <w:spacing w:line="480" w:lineRule="auto"/>
        <w:rPr>
          <w:rFonts w:ascii="Arial" w:hAnsi="Arial" w:cs="Arial"/>
          <w:sz w:val="22"/>
          <w:szCs w:val="22"/>
        </w:rPr>
      </w:pPr>
      <w:proofErr w:type="spellStart"/>
      <w:r w:rsidRPr="00AF33BF">
        <w:rPr>
          <w:rFonts w:ascii="Arial" w:hAnsi="Arial" w:cs="Arial"/>
          <w:sz w:val="22"/>
          <w:szCs w:val="22"/>
        </w:rPr>
        <w:t>Epizitone</w:t>
      </w:r>
      <w:proofErr w:type="spellEnd"/>
      <w:r w:rsidRPr="00AF33BF">
        <w:rPr>
          <w:rFonts w:ascii="Arial" w:hAnsi="Arial" w:cs="Arial"/>
          <w:sz w:val="22"/>
          <w:szCs w:val="22"/>
        </w:rPr>
        <w:t xml:space="preserve">, A., </w:t>
      </w:r>
      <w:proofErr w:type="spellStart"/>
      <w:r w:rsidRPr="00AF33BF">
        <w:rPr>
          <w:rFonts w:ascii="Arial" w:hAnsi="Arial" w:cs="Arial"/>
          <w:sz w:val="22"/>
          <w:szCs w:val="22"/>
        </w:rPr>
        <w:t>Moyane</w:t>
      </w:r>
      <w:proofErr w:type="spellEnd"/>
      <w:r w:rsidRPr="00AF33BF">
        <w:rPr>
          <w:rFonts w:ascii="Arial" w:hAnsi="Arial" w:cs="Arial"/>
          <w:sz w:val="22"/>
          <w:szCs w:val="22"/>
        </w:rPr>
        <w:t xml:space="preserve">, S.P. and </w:t>
      </w:r>
      <w:proofErr w:type="spellStart"/>
      <w:r w:rsidRPr="00AF33BF">
        <w:rPr>
          <w:rFonts w:ascii="Arial" w:hAnsi="Arial" w:cs="Arial"/>
          <w:sz w:val="22"/>
          <w:szCs w:val="22"/>
        </w:rPr>
        <w:t>Agbehadji</w:t>
      </w:r>
      <w:proofErr w:type="spellEnd"/>
      <w:r w:rsidRPr="00AF33BF">
        <w:rPr>
          <w:rFonts w:ascii="Arial" w:hAnsi="Arial" w:cs="Arial"/>
          <w:sz w:val="22"/>
          <w:szCs w:val="22"/>
        </w:rPr>
        <w:t xml:space="preserve">, I.E. (2023) ‘A systematic literature review of health information systems for healthcare’, </w:t>
      </w:r>
      <w:r w:rsidRPr="00AF33BF">
        <w:rPr>
          <w:rStyle w:val="Emphasis"/>
          <w:rFonts w:ascii="Arial" w:hAnsi="Arial" w:cs="Arial"/>
          <w:sz w:val="22"/>
          <w:szCs w:val="22"/>
        </w:rPr>
        <w:t>Healthcare</w:t>
      </w:r>
      <w:r w:rsidRPr="00AF33BF">
        <w:rPr>
          <w:rFonts w:ascii="Arial" w:hAnsi="Arial" w:cs="Arial"/>
          <w:sz w:val="22"/>
          <w:szCs w:val="22"/>
        </w:rPr>
        <w:t xml:space="preserve">, 11(7), p. 959. Available at: </w:t>
      </w:r>
      <w:hyperlink r:id="rId8" w:tgtFrame="_new" w:history="1">
        <w:r w:rsidRPr="00AF33BF">
          <w:rPr>
            <w:rStyle w:val="Hyperlink"/>
            <w:rFonts w:ascii="Arial" w:hAnsi="Arial" w:cs="Arial"/>
            <w:sz w:val="22"/>
            <w:szCs w:val="22"/>
          </w:rPr>
          <w:t>https://doi.org/10.3390/healthcare11070959</w:t>
        </w:r>
      </w:hyperlink>
      <w:r w:rsidRPr="00AF33BF">
        <w:rPr>
          <w:rFonts w:ascii="Arial" w:hAnsi="Arial" w:cs="Arial"/>
          <w:sz w:val="22"/>
          <w:szCs w:val="22"/>
        </w:rPr>
        <w:t xml:space="preserve"> (Accessed 7 June 2025).</w:t>
      </w:r>
    </w:p>
    <w:p w14:paraId="7D0EE766"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t xml:space="preserve">Greenhalgh, T., Potts, H.W.W., Wong, G., Bark, P. and </w:t>
      </w:r>
      <w:proofErr w:type="spellStart"/>
      <w:r w:rsidRPr="00AF33BF">
        <w:rPr>
          <w:rFonts w:ascii="Arial" w:hAnsi="Arial" w:cs="Arial"/>
          <w:sz w:val="22"/>
          <w:szCs w:val="22"/>
        </w:rPr>
        <w:t>Swinglehurst</w:t>
      </w:r>
      <w:proofErr w:type="spellEnd"/>
      <w:r w:rsidRPr="00AF33BF">
        <w:rPr>
          <w:rFonts w:ascii="Arial" w:hAnsi="Arial" w:cs="Arial"/>
          <w:sz w:val="22"/>
          <w:szCs w:val="22"/>
        </w:rPr>
        <w:t xml:space="preserve">, D. (2009) ‘Tensions and paradoxes in electronic patient record research: a systematic literature review using the meta-narrative method’, </w:t>
      </w:r>
      <w:r w:rsidRPr="00AF33BF">
        <w:rPr>
          <w:rStyle w:val="Emphasis"/>
          <w:rFonts w:ascii="Arial" w:hAnsi="Arial" w:cs="Arial"/>
          <w:sz w:val="22"/>
          <w:szCs w:val="22"/>
        </w:rPr>
        <w:t>Milbank Quarterly</w:t>
      </w:r>
      <w:r w:rsidRPr="00AF33BF">
        <w:rPr>
          <w:rFonts w:ascii="Arial" w:hAnsi="Arial" w:cs="Arial"/>
          <w:sz w:val="22"/>
          <w:szCs w:val="22"/>
        </w:rPr>
        <w:t xml:space="preserve">, 87(4), pp. 729–788. Available at: </w:t>
      </w:r>
      <w:hyperlink r:id="rId9" w:tgtFrame="_new" w:history="1">
        <w:r w:rsidRPr="00AF33BF">
          <w:rPr>
            <w:rStyle w:val="Hyperlink"/>
            <w:rFonts w:ascii="Arial" w:hAnsi="Arial" w:cs="Arial"/>
            <w:sz w:val="22"/>
            <w:szCs w:val="22"/>
          </w:rPr>
          <w:t>https://doi.org/10.1111/j.1468-0009.2009.00578.x</w:t>
        </w:r>
      </w:hyperlink>
      <w:r w:rsidRPr="00AF33BF">
        <w:rPr>
          <w:rFonts w:ascii="Arial" w:hAnsi="Arial" w:cs="Arial"/>
          <w:sz w:val="22"/>
          <w:szCs w:val="22"/>
        </w:rPr>
        <w:t>.</w:t>
      </w:r>
    </w:p>
    <w:p w14:paraId="3FD022A6"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t xml:space="preserve">Greenhalgh, T., </w:t>
      </w:r>
      <w:proofErr w:type="spellStart"/>
      <w:r w:rsidRPr="00AF33BF">
        <w:rPr>
          <w:rFonts w:ascii="Arial" w:hAnsi="Arial" w:cs="Arial"/>
          <w:sz w:val="22"/>
          <w:szCs w:val="22"/>
        </w:rPr>
        <w:t>Wherton</w:t>
      </w:r>
      <w:proofErr w:type="spellEnd"/>
      <w:r w:rsidRPr="00AF33BF">
        <w:rPr>
          <w:rFonts w:ascii="Arial" w:hAnsi="Arial" w:cs="Arial"/>
          <w:sz w:val="22"/>
          <w:szCs w:val="22"/>
        </w:rPr>
        <w:t xml:space="preserve">, J., Procter, R. and Stones, R. (2011) ‘The organising vision for telehealth and telecare: discourse analysis’, </w:t>
      </w:r>
      <w:r w:rsidRPr="00AF33BF">
        <w:rPr>
          <w:rStyle w:val="Emphasis"/>
          <w:rFonts w:ascii="Arial" w:hAnsi="Arial" w:cs="Arial"/>
          <w:sz w:val="22"/>
          <w:szCs w:val="22"/>
        </w:rPr>
        <w:t>BMJ Open</w:t>
      </w:r>
      <w:r w:rsidRPr="00AF33BF">
        <w:rPr>
          <w:rFonts w:ascii="Arial" w:hAnsi="Arial" w:cs="Arial"/>
          <w:sz w:val="22"/>
          <w:szCs w:val="22"/>
        </w:rPr>
        <w:t xml:space="preserve">, 1(2), e000001. Available at: </w:t>
      </w:r>
      <w:hyperlink r:id="rId10" w:tgtFrame="_new" w:history="1">
        <w:r w:rsidRPr="00AF33BF">
          <w:rPr>
            <w:rStyle w:val="Hyperlink"/>
            <w:rFonts w:ascii="Arial" w:hAnsi="Arial" w:cs="Arial"/>
            <w:sz w:val="22"/>
            <w:szCs w:val="22"/>
          </w:rPr>
          <w:t>https://doi.org/10.1136/bmjopen-2010-000001</w:t>
        </w:r>
      </w:hyperlink>
      <w:r w:rsidRPr="00AF33BF">
        <w:rPr>
          <w:rFonts w:ascii="Arial" w:hAnsi="Arial" w:cs="Arial"/>
          <w:sz w:val="22"/>
          <w:szCs w:val="22"/>
        </w:rPr>
        <w:t>.</w:t>
      </w:r>
    </w:p>
    <w:p w14:paraId="2ECE180B"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lastRenderedPageBreak/>
        <w:t xml:space="preserve">Holden, R.J. and Karsh, B-T. (2010) ‘The Technology Acceptance Model: its past and its future in health care’, </w:t>
      </w:r>
      <w:r w:rsidRPr="00AF33BF">
        <w:rPr>
          <w:rStyle w:val="Emphasis"/>
          <w:rFonts w:ascii="Arial" w:hAnsi="Arial" w:cs="Arial"/>
          <w:sz w:val="22"/>
          <w:szCs w:val="22"/>
        </w:rPr>
        <w:t>Journal of Biomedical Informatics</w:t>
      </w:r>
      <w:r w:rsidRPr="00AF33BF">
        <w:rPr>
          <w:rFonts w:ascii="Arial" w:hAnsi="Arial" w:cs="Arial"/>
          <w:sz w:val="22"/>
          <w:szCs w:val="22"/>
        </w:rPr>
        <w:t xml:space="preserve">, 43(1), pp. 159–172. Available at: </w:t>
      </w:r>
      <w:hyperlink r:id="rId11" w:tgtFrame="_new" w:history="1">
        <w:r w:rsidRPr="00AF33BF">
          <w:rPr>
            <w:rStyle w:val="Hyperlink"/>
            <w:rFonts w:ascii="Arial" w:hAnsi="Arial" w:cs="Arial"/>
            <w:sz w:val="22"/>
            <w:szCs w:val="22"/>
          </w:rPr>
          <w:t>https://doi.org/10.1016/j.jbi.2009.07.002</w:t>
        </w:r>
      </w:hyperlink>
      <w:r w:rsidRPr="00AF33BF">
        <w:rPr>
          <w:rFonts w:ascii="Arial" w:hAnsi="Arial" w:cs="Arial"/>
          <w:sz w:val="22"/>
          <w:szCs w:val="22"/>
        </w:rPr>
        <w:t>.</w:t>
      </w:r>
    </w:p>
    <w:p w14:paraId="337D1A64" w14:textId="77777777" w:rsidR="00BC3272" w:rsidRPr="00AF33BF" w:rsidRDefault="00BC3272" w:rsidP="00AF33BF">
      <w:pPr>
        <w:pStyle w:val="NormalWeb"/>
        <w:spacing w:line="480" w:lineRule="auto"/>
        <w:rPr>
          <w:rFonts w:ascii="Arial" w:hAnsi="Arial" w:cs="Arial"/>
          <w:sz w:val="22"/>
          <w:szCs w:val="22"/>
        </w:rPr>
      </w:pPr>
      <w:proofErr w:type="spellStart"/>
      <w:r w:rsidRPr="00AF33BF">
        <w:rPr>
          <w:rFonts w:ascii="Arial" w:hAnsi="Arial" w:cs="Arial"/>
          <w:sz w:val="22"/>
          <w:szCs w:val="22"/>
        </w:rPr>
        <w:t>Keesara</w:t>
      </w:r>
      <w:proofErr w:type="spellEnd"/>
      <w:r w:rsidRPr="00AF33BF">
        <w:rPr>
          <w:rFonts w:ascii="Arial" w:hAnsi="Arial" w:cs="Arial"/>
          <w:sz w:val="22"/>
          <w:szCs w:val="22"/>
        </w:rPr>
        <w:t xml:space="preserve">, S., Jonas, A. and Schulman, K. (2020) ‘COVID-19 and health care’s digital revolution’, </w:t>
      </w:r>
      <w:r w:rsidRPr="00AF33BF">
        <w:rPr>
          <w:rStyle w:val="Emphasis"/>
          <w:rFonts w:ascii="Arial" w:hAnsi="Arial" w:cs="Arial"/>
          <w:sz w:val="22"/>
          <w:szCs w:val="22"/>
        </w:rPr>
        <w:t>New England Journal of Medicine</w:t>
      </w:r>
      <w:r w:rsidRPr="00AF33BF">
        <w:rPr>
          <w:rFonts w:ascii="Arial" w:hAnsi="Arial" w:cs="Arial"/>
          <w:sz w:val="22"/>
          <w:szCs w:val="22"/>
        </w:rPr>
        <w:t xml:space="preserve">, 382, e82. Available at: </w:t>
      </w:r>
      <w:hyperlink r:id="rId12" w:tgtFrame="_new" w:history="1">
        <w:r w:rsidRPr="00AF33BF">
          <w:rPr>
            <w:rStyle w:val="Hyperlink"/>
            <w:rFonts w:ascii="Arial" w:hAnsi="Arial" w:cs="Arial"/>
            <w:sz w:val="22"/>
            <w:szCs w:val="22"/>
          </w:rPr>
          <w:t>https://doi.org/10.1056/NEJMp2005835</w:t>
        </w:r>
      </w:hyperlink>
      <w:r w:rsidRPr="00AF33BF">
        <w:rPr>
          <w:rFonts w:ascii="Arial" w:hAnsi="Arial" w:cs="Arial"/>
          <w:sz w:val="22"/>
          <w:szCs w:val="22"/>
        </w:rPr>
        <w:t>.</w:t>
      </w:r>
    </w:p>
    <w:p w14:paraId="616A313D"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t xml:space="preserve">Martin, G., </w:t>
      </w:r>
      <w:proofErr w:type="spellStart"/>
      <w:r w:rsidRPr="00AF33BF">
        <w:rPr>
          <w:rFonts w:ascii="Arial" w:hAnsi="Arial" w:cs="Arial"/>
          <w:sz w:val="22"/>
          <w:szCs w:val="22"/>
        </w:rPr>
        <w:t>Ghafur</w:t>
      </w:r>
      <w:proofErr w:type="spellEnd"/>
      <w:r w:rsidRPr="00AF33BF">
        <w:rPr>
          <w:rFonts w:ascii="Arial" w:hAnsi="Arial" w:cs="Arial"/>
          <w:sz w:val="22"/>
          <w:szCs w:val="22"/>
        </w:rPr>
        <w:t xml:space="preserve">, S., Kinross, J., </w:t>
      </w:r>
      <w:proofErr w:type="spellStart"/>
      <w:r w:rsidRPr="00AF33BF">
        <w:rPr>
          <w:rFonts w:ascii="Arial" w:hAnsi="Arial" w:cs="Arial"/>
          <w:sz w:val="22"/>
          <w:szCs w:val="22"/>
        </w:rPr>
        <w:t>Hankin</w:t>
      </w:r>
      <w:proofErr w:type="spellEnd"/>
      <w:r w:rsidRPr="00AF33BF">
        <w:rPr>
          <w:rFonts w:ascii="Arial" w:hAnsi="Arial" w:cs="Arial"/>
          <w:sz w:val="22"/>
          <w:szCs w:val="22"/>
        </w:rPr>
        <w:t xml:space="preserve">, C. and Darzi, A. (2018) ‘WannaCry – a year on’, </w:t>
      </w:r>
      <w:r w:rsidRPr="00AF33BF">
        <w:rPr>
          <w:rStyle w:val="Emphasis"/>
          <w:rFonts w:ascii="Arial" w:hAnsi="Arial" w:cs="Arial"/>
          <w:sz w:val="22"/>
          <w:szCs w:val="22"/>
        </w:rPr>
        <w:t>BMJ</w:t>
      </w:r>
      <w:r w:rsidRPr="00AF33BF">
        <w:rPr>
          <w:rFonts w:ascii="Arial" w:hAnsi="Arial" w:cs="Arial"/>
          <w:sz w:val="22"/>
          <w:szCs w:val="22"/>
        </w:rPr>
        <w:t xml:space="preserve">, 361, k2381. Available at: </w:t>
      </w:r>
      <w:hyperlink r:id="rId13" w:tgtFrame="_new" w:history="1">
        <w:r w:rsidRPr="00AF33BF">
          <w:rPr>
            <w:rStyle w:val="Hyperlink"/>
            <w:rFonts w:ascii="Arial" w:hAnsi="Arial" w:cs="Arial"/>
            <w:sz w:val="22"/>
            <w:szCs w:val="22"/>
          </w:rPr>
          <w:t>https://doi.org/10.1136/bmj.k2381</w:t>
        </w:r>
      </w:hyperlink>
      <w:r w:rsidRPr="00AF33BF">
        <w:rPr>
          <w:rFonts w:ascii="Arial" w:hAnsi="Arial" w:cs="Arial"/>
          <w:sz w:val="22"/>
          <w:szCs w:val="22"/>
        </w:rPr>
        <w:t>.</w:t>
      </w:r>
    </w:p>
    <w:p w14:paraId="41EFD2DE"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t xml:space="preserve">National Audit Office (2013) </w:t>
      </w:r>
      <w:r w:rsidRPr="00AF33BF">
        <w:rPr>
          <w:rStyle w:val="Emphasis"/>
          <w:rFonts w:ascii="Arial" w:hAnsi="Arial" w:cs="Arial"/>
          <w:sz w:val="22"/>
          <w:szCs w:val="22"/>
        </w:rPr>
        <w:t>The dismantled National Programme for IT in the NHS</w:t>
      </w:r>
      <w:r w:rsidRPr="00AF33BF">
        <w:rPr>
          <w:rFonts w:ascii="Arial" w:hAnsi="Arial" w:cs="Arial"/>
          <w:sz w:val="22"/>
          <w:szCs w:val="22"/>
        </w:rPr>
        <w:t>. London: NAO. Available at: https://www.nao.org.uk/wp-content/uploads/2013/09/10154-001-NPfit-Book.pdf (Accessed 7 June 2025).</w:t>
      </w:r>
    </w:p>
    <w:p w14:paraId="28796318"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t xml:space="preserve">NHS Digital (2020) </w:t>
      </w:r>
      <w:r w:rsidRPr="00AF33BF">
        <w:rPr>
          <w:rStyle w:val="Emphasis"/>
          <w:rFonts w:ascii="Arial" w:hAnsi="Arial" w:cs="Arial"/>
          <w:sz w:val="22"/>
          <w:szCs w:val="22"/>
        </w:rPr>
        <w:t>Spine</w:t>
      </w:r>
      <w:r w:rsidRPr="00AF33BF">
        <w:rPr>
          <w:rFonts w:ascii="Arial" w:hAnsi="Arial" w:cs="Arial"/>
          <w:sz w:val="22"/>
          <w:szCs w:val="22"/>
        </w:rPr>
        <w:t xml:space="preserve">. Available at: </w:t>
      </w:r>
      <w:hyperlink r:id="rId14" w:tgtFrame="_new" w:history="1">
        <w:r w:rsidRPr="00AF33BF">
          <w:rPr>
            <w:rStyle w:val="Hyperlink"/>
            <w:rFonts w:ascii="Arial" w:hAnsi="Arial" w:cs="Arial"/>
            <w:sz w:val="22"/>
            <w:szCs w:val="22"/>
          </w:rPr>
          <w:t>https://digital.nhs.uk/services/spine</w:t>
        </w:r>
      </w:hyperlink>
      <w:r w:rsidRPr="00AF33BF">
        <w:rPr>
          <w:rFonts w:ascii="Arial" w:hAnsi="Arial" w:cs="Arial"/>
          <w:sz w:val="22"/>
          <w:szCs w:val="22"/>
        </w:rPr>
        <w:t xml:space="preserve"> (Accessed 7 June 2025).</w:t>
      </w:r>
    </w:p>
    <w:p w14:paraId="53DB5E64"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t xml:space="preserve">NHS England (2020) </w:t>
      </w:r>
      <w:r w:rsidRPr="00AF33BF">
        <w:rPr>
          <w:rStyle w:val="Emphasis"/>
          <w:rFonts w:ascii="Arial" w:hAnsi="Arial" w:cs="Arial"/>
          <w:sz w:val="22"/>
          <w:szCs w:val="22"/>
        </w:rPr>
        <w:t>Global Digital Exemplars</w:t>
      </w:r>
      <w:r w:rsidRPr="00AF33BF">
        <w:rPr>
          <w:rFonts w:ascii="Arial" w:hAnsi="Arial" w:cs="Arial"/>
          <w:sz w:val="22"/>
          <w:szCs w:val="22"/>
        </w:rPr>
        <w:t xml:space="preserve">. Available at: </w:t>
      </w:r>
      <w:hyperlink r:id="rId15" w:tgtFrame="_new" w:history="1">
        <w:r w:rsidRPr="00AF33BF">
          <w:rPr>
            <w:rStyle w:val="Hyperlink"/>
            <w:rFonts w:ascii="Arial" w:hAnsi="Arial" w:cs="Arial"/>
            <w:sz w:val="22"/>
            <w:szCs w:val="22"/>
          </w:rPr>
          <w:t>https://www.england.nhs.uk/digitaltechnology/connecteddigitalsystems/exemplars/</w:t>
        </w:r>
      </w:hyperlink>
      <w:r w:rsidRPr="00AF33BF">
        <w:rPr>
          <w:rFonts w:ascii="Arial" w:hAnsi="Arial" w:cs="Arial"/>
          <w:sz w:val="22"/>
          <w:szCs w:val="22"/>
        </w:rPr>
        <w:t xml:space="preserve"> (Accessed 7 June 2025).</w:t>
      </w:r>
    </w:p>
    <w:p w14:paraId="21C117E5"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t xml:space="preserve">NHS England (2025) ‘Digital monitoring of foetal and maternal vital signs – Imperial College Healthcare NHS Trust’. Available at: </w:t>
      </w:r>
      <w:hyperlink r:id="rId16" w:tgtFrame="_new" w:history="1">
        <w:r w:rsidRPr="00AF33BF">
          <w:rPr>
            <w:rStyle w:val="Hyperlink"/>
            <w:rFonts w:ascii="Arial" w:hAnsi="Arial" w:cs="Arial"/>
            <w:sz w:val="22"/>
            <w:szCs w:val="22"/>
          </w:rPr>
          <w:t>https://www.england.nhs.uk/digitaltechnology/connecteddigitalsystems/exemplars/global-digital-exemplars-case-studies/digital-monitoring/</w:t>
        </w:r>
      </w:hyperlink>
      <w:r w:rsidRPr="00AF33BF">
        <w:rPr>
          <w:rFonts w:ascii="Arial" w:hAnsi="Arial" w:cs="Arial"/>
          <w:sz w:val="22"/>
          <w:szCs w:val="22"/>
        </w:rPr>
        <w:t xml:space="preserve"> (Accessed 7 June 2025).</w:t>
      </w:r>
    </w:p>
    <w:p w14:paraId="07BE5F72"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t xml:space="preserve">Scott, P., </w:t>
      </w:r>
      <w:proofErr w:type="spellStart"/>
      <w:r w:rsidRPr="00AF33BF">
        <w:rPr>
          <w:rFonts w:ascii="Arial" w:hAnsi="Arial" w:cs="Arial"/>
          <w:sz w:val="22"/>
          <w:szCs w:val="22"/>
        </w:rPr>
        <w:t>Nakkas</w:t>
      </w:r>
      <w:proofErr w:type="spellEnd"/>
      <w:r w:rsidRPr="00AF33BF">
        <w:rPr>
          <w:rFonts w:ascii="Arial" w:hAnsi="Arial" w:cs="Arial"/>
          <w:sz w:val="22"/>
          <w:szCs w:val="22"/>
        </w:rPr>
        <w:t xml:space="preserve">, H., </w:t>
      </w:r>
      <w:proofErr w:type="spellStart"/>
      <w:r w:rsidRPr="00AF33BF">
        <w:rPr>
          <w:rFonts w:ascii="Arial" w:hAnsi="Arial" w:cs="Arial"/>
          <w:sz w:val="22"/>
          <w:szCs w:val="22"/>
        </w:rPr>
        <w:t>Sood</w:t>
      </w:r>
      <w:proofErr w:type="spellEnd"/>
      <w:r w:rsidRPr="00AF33BF">
        <w:rPr>
          <w:rFonts w:ascii="Arial" w:hAnsi="Arial" w:cs="Arial"/>
          <w:sz w:val="22"/>
          <w:szCs w:val="22"/>
        </w:rPr>
        <w:t xml:space="preserve">, S. and Patel, A. (2017) ‘Assessing the performance of a hospital information system using the </w:t>
      </w:r>
      <w:proofErr w:type="spellStart"/>
      <w:r w:rsidRPr="00AF33BF">
        <w:rPr>
          <w:rFonts w:ascii="Arial" w:hAnsi="Arial" w:cs="Arial"/>
          <w:sz w:val="22"/>
          <w:szCs w:val="22"/>
        </w:rPr>
        <w:t>DeLone</w:t>
      </w:r>
      <w:proofErr w:type="spellEnd"/>
      <w:r w:rsidRPr="00AF33BF">
        <w:rPr>
          <w:rFonts w:ascii="Arial" w:hAnsi="Arial" w:cs="Arial"/>
          <w:sz w:val="22"/>
          <w:szCs w:val="22"/>
        </w:rPr>
        <w:t xml:space="preserve"> and McLean model in an NHS hospital’, </w:t>
      </w:r>
      <w:r w:rsidRPr="00AF33BF">
        <w:rPr>
          <w:rStyle w:val="Emphasis"/>
          <w:rFonts w:ascii="Arial" w:hAnsi="Arial" w:cs="Arial"/>
          <w:sz w:val="22"/>
          <w:szCs w:val="22"/>
        </w:rPr>
        <w:t>Health Information and Libraries Journal</w:t>
      </w:r>
      <w:r w:rsidRPr="00AF33BF">
        <w:rPr>
          <w:rFonts w:ascii="Arial" w:hAnsi="Arial" w:cs="Arial"/>
          <w:sz w:val="22"/>
          <w:szCs w:val="22"/>
        </w:rPr>
        <w:t>, 34(1), pp. 62–73. Available at: https://doi.org/10.1111/hir.12136.</w:t>
      </w:r>
    </w:p>
    <w:p w14:paraId="2D60552F" w14:textId="77777777" w:rsidR="00BC3272" w:rsidRPr="00AF33BF" w:rsidRDefault="00BC3272" w:rsidP="00AF33BF">
      <w:pPr>
        <w:pStyle w:val="NormalWeb"/>
        <w:spacing w:line="480" w:lineRule="auto"/>
        <w:rPr>
          <w:rFonts w:ascii="Arial" w:hAnsi="Arial" w:cs="Arial"/>
          <w:sz w:val="22"/>
          <w:szCs w:val="22"/>
        </w:rPr>
      </w:pPr>
      <w:r w:rsidRPr="00AF33BF">
        <w:rPr>
          <w:rFonts w:ascii="Arial" w:hAnsi="Arial" w:cs="Arial"/>
          <w:sz w:val="22"/>
          <w:szCs w:val="22"/>
        </w:rPr>
        <w:lastRenderedPageBreak/>
        <w:t xml:space="preserve">Waterson, P. (2014) ‘Health information technology and sociotechnical systems: a progress report on recent developments within the UK National Health Service (NHS)’, </w:t>
      </w:r>
      <w:r w:rsidRPr="00AF33BF">
        <w:rPr>
          <w:rStyle w:val="Emphasis"/>
          <w:rFonts w:ascii="Arial" w:hAnsi="Arial" w:cs="Arial"/>
          <w:sz w:val="22"/>
          <w:szCs w:val="22"/>
        </w:rPr>
        <w:t>Applied Ergonomics</w:t>
      </w:r>
      <w:r w:rsidRPr="00AF33BF">
        <w:rPr>
          <w:rFonts w:ascii="Arial" w:hAnsi="Arial" w:cs="Arial"/>
          <w:sz w:val="22"/>
          <w:szCs w:val="22"/>
        </w:rPr>
        <w:t xml:space="preserve">, 45(2), pp. 150–161. Available at: </w:t>
      </w:r>
      <w:hyperlink r:id="rId17" w:tgtFrame="_new" w:history="1">
        <w:r w:rsidRPr="00AF33BF">
          <w:rPr>
            <w:rStyle w:val="Hyperlink"/>
            <w:rFonts w:ascii="Arial" w:hAnsi="Arial" w:cs="Arial"/>
            <w:sz w:val="22"/>
            <w:szCs w:val="22"/>
          </w:rPr>
          <w:t>https://doi.org/10.1016/j.apergo.2013.07.004</w:t>
        </w:r>
      </w:hyperlink>
      <w:r w:rsidRPr="00AF33BF">
        <w:rPr>
          <w:rFonts w:ascii="Arial" w:hAnsi="Arial" w:cs="Arial"/>
          <w:sz w:val="22"/>
          <w:szCs w:val="22"/>
        </w:rPr>
        <w:t>.</w:t>
      </w:r>
    </w:p>
    <w:p w14:paraId="62B5A4EF" w14:textId="77777777" w:rsidR="00FD637F" w:rsidRPr="00AF33BF" w:rsidRDefault="00FD637F" w:rsidP="00AF33BF">
      <w:pPr>
        <w:spacing w:line="480" w:lineRule="auto"/>
        <w:rPr>
          <w:rFonts w:ascii="Arial" w:hAnsi="Arial" w:cs="Arial"/>
          <w:sz w:val="22"/>
          <w:szCs w:val="22"/>
        </w:rPr>
      </w:pPr>
    </w:p>
    <w:sectPr w:rsidR="00FD637F" w:rsidRPr="00AF33BF" w:rsidSect="00CF71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14F28"/>
    <w:multiLevelType w:val="multilevel"/>
    <w:tmpl w:val="CEB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F07EC"/>
    <w:multiLevelType w:val="multilevel"/>
    <w:tmpl w:val="B722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F3D1B"/>
    <w:multiLevelType w:val="multilevel"/>
    <w:tmpl w:val="C85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54FC3"/>
    <w:multiLevelType w:val="multilevel"/>
    <w:tmpl w:val="78B4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32F32"/>
    <w:multiLevelType w:val="multilevel"/>
    <w:tmpl w:val="B722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10"/>
    <w:rsid w:val="00003E60"/>
    <w:rsid w:val="000475AF"/>
    <w:rsid w:val="000C18DC"/>
    <w:rsid w:val="000D1130"/>
    <w:rsid w:val="000D46D0"/>
    <w:rsid w:val="000F4561"/>
    <w:rsid w:val="00114D10"/>
    <w:rsid w:val="001308C8"/>
    <w:rsid w:val="00147314"/>
    <w:rsid w:val="001D38FC"/>
    <w:rsid w:val="001F07B2"/>
    <w:rsid w:val="00251ED4"/>
    <w:rsid w:val="00263A84"/>
    <w:rsid w:val="00283A9A"/>
    <w:rsid w:val="002B5FCF"/>
    <w:rsid w:val="002C0732"/>
    <w:rsid w:val="002F7C78"/>
    <w:rsid w:val="003642D4"/>
    <w:rsid w:val="00392B7F"/>
    <w:rsid w:val="00395ECB"/>
    <w:rsid w:val="003977FE"/>
    <w:rsid w:val="0040191E"/>
    <w:rsid w:val="00415B8A"/>
    <w:rsid w:val="00434590"/>
    <w:rsid w:val="00477B12"/>
    <w:rsid w:val="004A34D0"/>
    <w:rsid w:val="004F2561"/>
    <w:rsid w:val="004F291A"/>
    <w:rsid w:val="005450C7"/>
    <w:rsid w:val="00551D3F"/>
    <w:rsid w:val="00587141"/>
    <w:rsid w:val="005A2D66"/>
    <w:rsid w:val="005A6202"/>
    <w:rsid w:val="00695E0E"/>
    <w:rsid w:val="007A5EFB"/>
    <w:rsid w:val="00801F89"/>
    <w:rsid w:val="008043C2"/>
    <w:rsid w:val="00821C58"/>
    <w:rsid w:val="0083337E"/>
    <w:rsid w:val="00863BCE"/>
    <w:rsid w:val="00863C52"/>
    <w:rsid w:val="0086626A"/>
    <w:rsid w:val="00887513"/>
    <w:rsid w:val="00897983"/>
    <w:rsid w:val="008D59E5"/>
    <w:rsid w:val="008F02D8"/>
    <w:rsid w:val="008F24ED"/>
    <w:rsid w:val="00982789"/>
    <w:rsid w:val="0098434C"/>
    <w:rsid w:val="00996AB0"/>
    <w:rsid w:val="009A749B"/>
    <w:rsid w:val="009D161C"/>
    <w:rsid w:val="009D3DA1"/>
    <w:rsid w:val="009E2EBA"/>
    <w:rsid w:val="009F6E32"/>
    <w:rsid w:val="00A36385"/>
    <w:rsid w:val="00AC6F0F"/>
    <w:rsid w:val="00AE2659"/>
    <w:rsid w:val="00AF33BF"/>
    <w:rsid w:val="00B23000"/>
    <w:rsid w:val="00B764E9"/>
    <w:rsid w:val="00BA6047"/>
    <w:rsid w:val="00BC2E4D"/>
    <w:rsid w:val="00BC3272"/>
    <w:rsid w:val="00C12E65"/>
    <w:rsid w:val="00CA4E6B"/>
    <w:rsid w:val="00CD754D"/>
    <w:rsid w:val="00CF716B"/>
    <w:rsid w:val="00DC027B"/>
    <w:rsid w:val="00DC4E9E"/>
    <w:rsid w:val="00DE04B3"/>
    <w:rsid w:val="00E77AF4"/>
    <w:rsid w:val="00E83329"/>
    <w:rsid w:val="00EA0426"/>
    <w:rsid w:val="00EC6FBB"/>
    <w:rsid w:val="00ED4C7A"/>
    <w:rsid w:val="00F16D84"/>
    <w:rsid w:val="00F313BA"/>
    <w:rsid w:val="00F34F52"/>
    <w:rsid w:val="00F752E2"/>
    <w:rsid w:val="00FD637F"/>
    <w:rsid w:val="00FF0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898C2D"/>
  <w15:chartTrackingRefBased/>
  <w15:docId w15:val="{B259FCF8-1358-2A41-87E8-3958A2E3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202"/>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BA60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4D1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D10"/>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14D10"/>
    <w:rPr>
      <w:b/>
      <w:bCs/>
    </w:rPr>
  </w:style>
  <w:style w:type="paragraph" w:styleId="NormalWeb">
    <w:name w:val="Normal (Web)"/>
    <w:basedOn w:val="Normal"/>
    <w:uiPriority w:val="99"/>
    <w:unhideWhenUsed/>
    <w:rsid w:val="00114D10"/>
    <w:pPr>
      <w:spacing w:before="100" w:beforeAutospacing="1" w:after="100" w:afterAutospacing="1"/>
    </w:pPr>
  </w:style>
  <w:style w:type="paragraph" w:styleId="ListParagraph">
    <w:name w:val="List Paragraph"/>
    <w:basedOn w:val="Normal"/>
    <w:uiPriority w:val="34"/>
    <w:qFormat/>
    <w:rsid w:val="00283A9A"/>
    <w:pPr>
      <w:ind w:left="720"/>
      <w:contextualSpacing/>
    </w:pPr>
  </w:style>
  <w:style w:type="character" w:styleId="Hyperlink">
    <w:name w:val="Hyperlink"/>
    <w:basedOn w:val="DefaultParagraphFont"/>
    <w:uiPriority w:val="99"/>
    <w:unhideWhenUsed/>
    <w:rsid w:val="0083337E"/>
    <w:rPr>
      <w:color w:val="0563C1" w:themeColor="hyperlink"/>
      <w:u w:val="single"/>
    </w:rPr>
  </w:style>
  <w:style w:type="character" w:styleId="UnresolvedMention">
    <w:name w:val="Unresolved Mention"/>
    <w:basedOn w:val="DefaultParagraphFont"/>
    <w:uiPriority w:val="99"/>
    <w:semiHidden/>
    <w:unhideWhenUsed/>
    <w:rsid w:val="0083337E"/>
    <w:rPr>
      <w:color w:val="605E5C"/>
      <w:shd w:val="clear" w:color="auto" w:fill="E1DFDD"/>
    </w:rPr>
  </w:style>
  <w:style w:type="character" w:styleId="Emphasis">
    <w:name w:val="Emphasis"/>
    <w:basedOn w:val="DefaultParagraphFont"/>
    <w:uiPriority w:val="20"/>
    <w:qFormat/>
    <w:rsid w:val="00FD637F"/>
    <w:rPr>
      <w:i/>
      <w:iCs/>
    </w:rPr>
  </w:style>
  <w:style w:type="character" w:styleId="FollowedHyperlink">
    <w:name w:val="FollowedHyperlink"/>
    <w:basedOn w:val="DefaultParagraphFont"/>
    <w:uiPriority w:val="99"/>
    <w:semiHidden/>
    <w:unhideWhenUsed/>
    <w:rsid w:val="000D46D0"/>
    <w:rPr>
      <w:color w:val="954F72" w:themeColor="followedHyperlink"/>
      <w:u w:val="single"/>
    </w:rPr>
  </w:style>
  <w:style w:type="character" w:customStyle="1" w:styleId="Heading2Char">
    <w:name w:val="Heading 2 Char"/>
    <w:basedOn w:val="DefaultParagraphFont"/>
    <w:link w:val="Heading2"/>
    <w:uiPriority w:val="9"/>
    <w:semiHidden/>
    <w:rsid w:val="00BA6047"/>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31605">
      <w:bodyDiv w:val="1"/>
      <w:marLeft w:val="0"/>
      <w:marRight w:val="0"/>
      <w:marTop w:val="0"/>
      <w:marBottom w:val="0"/>
      <w:divBdr>
        <w:top w:val="none" w:sz="0" w:space="0" w:color="auto"/>
        <w:left w:val="none" w:sz="0" w:space="0" w:color="auto"/>
        <w:bottom w:val="none" w:sz="0" w:space="0" w:color="auto"/>
        <w:right w:val="none" w:sz="0" w:space="0" w:color="auto"/>
      </w:divBdr>
    </w:div>
    <w:div w:id="259723983">
      <w:bodyDiv w:val="1"/>
      <w:marLeft w:val="0"/>
      <w:marRight w:val="0"/>
      <w:marTop w:val="0"/>
      <w:marBottom w:val="0"/>
      <w:divBdr>
        <w:top w:val="none" w:sz="0" w:space="0" w:color="auto"/>
        <w:left w:val="none" w:sz="0" w:space="0" w:color="auto"/>
        <w:bottom w:val="none" w:sz="0" w:space="0" w:color="auto"/>
        <w:right w:val="none" w:sz="0" w:space="0" w:color="auto"/>
      </w:divBdr>
    </w:div>
    <w:div w:id="264073557">
      <w:bodyDiv w:val="1"/>
      <w:marLeft w:val="0"/>
      <w:marRight w:val="0"/>
      <w:marTop w:val="0"/>
      <w:marBottom w:val="0"/>
      <w:divBdr>
        <w:top w:val="none" w:sz="0" w:space="0" w:color="auto"/>
        <w:left w:val="none" w:sz="0" w:space="0" w:color="auto"/>
        <w:bottom w:val="none" w:sz="0" w:space="0" w:color="auto"/>
        <w:right w:val="none" w:sz="0" w:space="0" w:color="auto"/>
      </w:divBdr>
    </w:div>
    <w:div w:id="359669012">
      <w:bodyDiv w:val="1"/>
      <w:marLeft w:val="0"/>
      <w:marRight w:val="0"/>
      <w:marTop w:val="0"/>
      <w:marBottom w:val="0"/>
      <w:divBdr>
        <w:top w:val="none" w:sz="0" w:space="0" w:color="auto"/>
        <w:left w:val="none" w:sz="0" w:space="0" w:color="auto"/>
        <w:bottom w:val="none" w:sz="0" w:space="0" w:color="auto"/>
        <w:right w:val="none" w:sz="0" w:space="0" w:color="auto"/>
      </w:divBdr>
    </w:div>
    <w:div w:id="444354073">
      <w:bodyDiv w:val="1"/>
      <w:marLeft w:val="0"/>
      <w:marRight w:val="0"/>
      <w:marTop w:val="0"/>
      <w:marBottom w:val="0"/>
      <w:divBdr>
        <w:top w:val="none" w:sz="0" w:space="0" w:color="auto"/>
        <w:left w:val="none" w:sz="0" w:space="0" w:color="auto"/>
        <w:bottom w:val="none" w:sz="0" w:space="0" w:color="auto"/>
        <w:right w:val="none" w:sz="0" w:space="0" w:color="auto"/>
      </w:divBdr>
      <w:divsChild>
        <w:div w:id="1799832408">
          <w:marLeft w:val="0"/>
          <w:marRight w:val="0"/>
          <w:marTop w:val="0"/>
          <w:marBottom w:val="0"/>
          <w:divBdr>
            <w:top w:val="none" w:sz="0" w:space="0" w:color="auto"/>
            <w:left w:val="none" w:sz="0" w:space="0" w:color="auto"/>
            <w:bottom w:val="none" w:sz="0" w:space="0" w:color="auto"/>
            <w:right w:val="none" w:sz="0" w:space="0" w:color="auto"/>
          </w:divBdr>
        </w:div>
      </w:divsChild>
    </w:div>
    <w:div w:id="480463094">
      <w:bodyDiv w:val="1"/>
      <w:marLeft w:val="0"/>
      <w:marRight w:val="0"/>
      <w:marTop w:val="0"/>
      <w:marBottom w:val="0"/>
      <w:divBdr>
        <w:top w:val="none" w:sz="0" w:space="0" w:color="auto"/>
        <w:left w:val="none" w:sz="0" w:space="0" w:color="auto"/>
        <w:bottom w:val="none" w:sz="0" w:space="0" w:color="auto"/>
        <w:right w:val="none" w:sz="0" w:space="0" w:color="auto"/>
      </w:divBdr>
    </w:div>
    <w:div w:id="481772150">
      <w:bodyDiv w:val="1"/>
      <w:marLeft w:val="0"/>
      <w:marRight w:val="0"/>
      <w:marTop w:val="0"/>
      <w:marBottom w:val="0"/>
      <w:divBdr>
        <w:top w:val="none" w:sz="0" w:space="0" w:color="auto"/>
        <w:left w:val="none" w:sz="0" w:space="0" w:color="auto"/>
        <w:bottom w:val="none" w:sz="0" w:space="0" w:color="auto"/>
        <w:right w:val="none" w:sz="0" w:space="0" w:color="auto"/>
      </w:divBdr>
    </w:div>
    <w:div w:id="494033599">
      <w:bodyDiv w:val="1"/>
      <w:marLeft w:val="0"/>
      <w:marRight w:val="0"/>
      <w:marTop w:val="0"/>
      <w:marBottom w:val="0"/>
      <w:divBdr>
        <w:top w:val="none" w:sz="0" w:space="0" w:color="auto"/>
        <w:left w:val="none" w:sz="0" w:space="0" w:color="auto"/>
        <w:bottom w:val="none" w:sz="0" w:space="0" w:color="auto"/>
        <w:right w:val="none" w:sz="0" w:space="0" w:color="auto"/>
      </w:divBdr>
    </w:div>
    <w:div w:id="505100118">
      <w:bodyDiv w:val="1"/>
      <w:marLeft w:val="0"/>
      <w:marRight w:val="0"/>
      <w:marTop w:val="0"/>
      <w:marBottom w:val="0"/>
      <w:divBdr>
        <w:top w:val="none" w:sz="0" w:space="0" w:color="auto"/>
        <w:left w:val="none" w:sz="0" w:space="0" w:color="auto"/>
        <w:bottom w:val="none" w:sz="0" w:space="0" w:color="auto"/>
        <w:right w:val="none" w:sz="0" w:space="0" w:color="auto"/>
      </w:divBdr>
    </w:div>
    <w:div w:id="505947825">
      <w:bodyDiv w:val="1"/>
      <w:marLeft w:val="0"/>
      <w:marRight w:val="0"/>
      <w:marTop w:val="0"/>
      <w:marBottom w:val="0"/>
      <w:divBdr>
        <w:top w:val="none" w:sz="0" w:space="0" w:color="auto"/>
        <w:left w:val="none" w:sz="0" w:space="0" w:color="auto"/>
        <w:bottom w:val="none" w:sz="0" w:space="0" w:color="auto"/>
        <w:right w:val="none" w:sz="0" w:space="0" w:color="auto"/>
      </w:divBdr>
    </w:div>
    <w:div w:id="579294259">
      <w:bodyDiv w:val="1"/>
      <w:marLeft w:val="0"/>
      <w:marRight w:val="0"/>
      <w:marTop w:val="0"/>
      <w:marBottom w:val="0"/>
      <w:divBdr>
        <w:top w:val="none" w:sz="0" w:space="0" w:color="auto"/>
        <w:left w:val="none" w:sz="0" w:space="0" w:color="auto"/>
        <w:bottom w:val="none" w:sz="0" w:space="0" w:color="auto"/>
        <w:right w:val="none" w:sz="0" w:space="0" w:color="auto"/>
      </w:divBdr>
      <w:divsChild>
        <w:div w:id="2025277940">
          <w:marLeft w:val="0"/>
          <w:marRight w:val="0"/>
          <w:marTop w:val="0"/>
          <w:marBottom w:val="0"/>
          <w:divBdr>
            <w:top w:val="none" w:sz="0" w:space="0" w:color="auto"/>
            <w:left w:val="none" w:sz="0" w:space="0" w:color="auto"/>
            <w:bottom w:val="none" w:sz="0" w:space="0" w:color="auto"/>
            <w:right w:val="none" w:sz="0" w:space="0" w:color="auto"/>
          </w:divBdr>
        </w:div>
      </w:divsChild>
    </w:div>
    <w:div w:id="581915577">
      <w:bodyDiv w:val="1"/>
      <w:marLeft w:val="0"/>
      <w:marRight w:val="0"/>
      <w:marTop w:val="0"/>
      <w:marBottom w:val="0"/>
      <w:divBdr>
        <w:top w:val="none" w:sz="0" w:space="0" w:color="auto"/>
        <w:left w:val="none" w:sz="0" w:space="0" w:color="auto"/>
        <w:bottom w:val="none" w:sz="0" w:space="0" w:color="auto"/>
        <w:right w:val="none" w:sz="0" w:space="0" w:color="auto"/>
      </w:divBdr>
      <w:divsChild>
        <w:div w:id="664550909">
          <w:marLeft w:val="0"/>
          <w:marRight w:val="0"/>
          <w:marTop w:val="0"/>
          <w:marBottom w:val="0"/>
          <w:divBdr>
            <w:top w:val="none" w:sz="0" w:space="0" w:color="auto"/>
            <w:left w:val="none" w:sz="0" w:space="0" w:color="auto"/>
            <w:bottom w:val="none" w:sz="0" w:space="0" w:color="auto"/>
            <w:right w:val="none" w:sz="0" w:space="0" w:color="auto"/>
          </w:divBdr>
        </w:div>
      </w:divsChild>
    </w:div>
    <w:div w:id="593247293">
      <w:bodyDiv w:val="1"/>
      <w:marLeft w:val="0"/>
      <w:marRight w:val="0"/>
      <w:marTop w:val="0"/>
      <w:marBottom w:val="0"/>
      <w:divBdr>
        <w:top w:val="none" w:sz="0" w:space="0" w:color="auto"/>
        <w:left w:val="none" w:sz="0" w:space="0" w:color="auto"/>
        <w:bottom w:val="none" w:sz="0" w:space="0" w:color="auto"/>
        <w:right w:val="none" w:sz="0" w:space="0" w:color="auto"/>
      </w:divBdr>
    </w:div>
    <w:div w:id="596641082">
      <w:bodyDiv w:val="1"/>
      <w:marLeft w:val="0"/>
      <w:marRight w:val="0"/>
      <w:marTop w:val="0"/>
      <w:marBottom w:val="0"/>
      <w:divBdr>
        <w:top w:val="none" w:sz="0" w:space="0" w:color="auto"/>
        <w:left w:val="none" w:sz="0" w:space="0" w:color="auto"/>
        <w:bottom w:val="none" w:sz="0" w:space="0" w:color="auto"/>
        <w:right w:val="none" w:sz="0" w:space="0" w:color="auto"/>
      </w:divBdr>
    </w:div>
    <w:div w:id="613246568">
      <w:bodyDiv w:val="1"/>
      <w:marLeft w:val="0"/>
      <w:marRight w:val="0"/>
      <w:marTop w:val="0"/>
      <w:marBottom w:val="0"/>
      <w:divBdr>
        <w:top w:val="none" w:sz="0" w:space="0" w:color="auto"/>
        <w:left w:val="none" w:sz="0" w:space="0" w:color="auto"/>
        <w:bottom w:val="none" w:sz="0" w:space="0" w:color="auto"/>
        <w:right w:val="none" w:sz="0" w:space="0" w:color="auto"/>
      </w:divBdr>
    </w:div>
    <w:div w:id="625894256">
      <w:bodyDiv w:val="1"/>
      <w:marLeft w:val="0"/>
      <w:marRight w:val="0"/>
      <w:marTop w:val="0"/>
      <w:marBottom w:val="0"/>
      <w:divBdr>
        <w:top w:val="none" w:sz="0" w:space="0" w:color="auto"/>
        <w:left w:val="none" w:sz="0" w:space="0" w:color="auto"/>
        <w:bottom w:val="none" w:sz="0" w:space="0" w:color="auto"/>
        <w:right w:val="none" w:sz="0" w:space="0" w:color="auto"/>
      </w:divBdr>
    </w:div>
    <w:div w:id="718407419">
      <w:bodyDiv w:val="1"/>
      <w:marLeft w:val="0"/>
      <w:marRight w:val="0"/>
      <w:marTop w:val="0"/>
      <w:marBottom w:val="0"/>
      <w:divBdr>
        <w:top w:val="none" w:sz="0" w:space="0" w:color="auto"/>
        <w:left w:val="none" w:sz="0" w:space="0" w:color="auto"/>
        <w:bottom w:val="none" w:sz="0" w:space="0" w:color="auto"/>
        <w:right w:val="none" w:sz="0" w:space="0" w:color="auto"/>
      </w:divBdr>
    </w:div>
    <w:div w:id="778597644">
      <w:bodyDiv w:val="1"/>
      <w:marLeft w:val="0"/>
      <w:marRight w:val="0"/>
      <w:marTop w:val="0"/>
      <w:marBottom w:val="0"/>
      <w:divBdr>
        <w:top w:val="none" w:sz="0" w:space="0" w:color="auto"/>
        <w:left w:val="none" w:sz="0" w:space="0" w:color="auto"/>
        <w:bottom w:val="none" w:sz="0" w:space="0" w:color="auto"/>
        <w:right w:val="none" w:sz="0" w:space="0" w:color="auto"/>
      </w:divBdr>
    </w:div>
    <w:div w:id="822355303">
      <w:bodyDiv w:val="1"/>
      <w:marLeft w:val="0"/>
      <w:marRight w:val="0"/>
      <w:marTop w:val="0"/>
      <w:marBottom w:val="0"/>
      <w:divBdr>
        <w:top w:val="none" w:sz="0" w:space="0" w:color="auto"/>
        <w:left w:val="none" w:sz="0" w:space="0" w:color="auto"/>
        <w:bottom w:val="none" w:sz="0" w:space="0" w:color="auto"/>
        <w:right w:val="none" w:sz="0" w:space="0" w:color="auto"/>
      </w:divBdr>
    </w:div>
    <w:div w:id="963779134">
      <w:bodyDiv w:val="1"/>
      <w:marLeft w:val="0"/>
      <w:marRight w:val="0"/>
      <w:marTop w:val="0"/>
      <w:marBottom w:val="0"/>
      <w:divBdr>
        <w:top w:val="none" w:sz="0" w:space="0" w:color="auto"/>
        <w:left w:val="none" w:sz="0" w:space="0" w:color="auto"/>
        <w:bottom w:val="none" w:sz="0" w:space="0" w:color="auto"/>
        <w:right w:val="none" w:sz="0" w:space="0" w:color="auto"/>
      </w:divBdr>
    </w:div>
    <w:div w:id="1026951553">
      <w:bodyDiv w:val="1"/>
      <w:marLeft w:val="0"/>
      <w:marRight w:val="0"/>
      <w:marTop w:val="0"/>
      <w:marBottom w:val="0"/>
      <w:divBdr>
        <w:top w:val="none" w:sz="0" w:space="0" w:color="auto"/>
        <w:left w:val="none" w:sz="0" w:space="0" w:color="auto"/>
        <w:bottom w:val="none" w:sz="0" w:space="0" w:color="auto"/>
        <w:right w:val="none" w:sz="0" w:space="0" w:color="auto"/>
      </w:divBdr>
    </w:div>
    <w:div w:id="1034698056">
      <w:bodyDiv w:val="1"/>
      <w:marLeft w:val="0"/>
      <w:marRight w:val="0"/>
      <w:marTop w:val="0"/>
      <w:marBottom w:val="0"/>
      <w:divBdr>
        <w:top w:val="none" w:sz="0" w:space="0" w:color="auto"/>
        <w:left w:val="none" w:sz="0" w:space="0" w:color="auto"/>
        <w:bottom w:val="none" w:sz="0" w:space="0" w:color="auto"/>
        <w:right w:val="none" w:sz="0" w:space="0" w:color="auto"/>
      </w:divBdr>
    </w:div>
    <w:div w:id="1057511884">
      <w:bodyDiv w:val="1"/>
      <w:marLeft w:val="0"/>
      <w:marRight w:val="0"/>
      <w:marTop w:val="0"/>
      <w:marBottom w:val="0"/>
      <w:divBdr>
        <w:top w:val="none" w:sz="0" w:space="0" w:color="auto"/>
        <w:left w:val="none" w:sz="0" w:space="0" w:color="auto"/>
        <w:bottom w:val="none" w:sz="0" w:space="0" w:color="auto"/>
        <w:right w:val="none" w:sz="0" w:space="0" w:color="auto"/>
      </w:divBdr>
    </w:div>
    <w:div w:id="1081828909">
      <w:bodyDiv w:val="1"/>
      <w:marLeft w:val="0"/>
      <w:marRight w:val="0"/>
      <w:marTop w:val="0"/>
      <w:marBottom w:val="0"/>
      <w:divBdr>
        <w:top w:val="none" w:sz="0" w:space="0" w:color="auto"/>
        <w:left w:val="none" w:sz="0" w:space="0" w:color="auto"/>
        <w:bottom w:val="none" w:sz="0" w:space="0" w:color="auto"/>
        <w:right w:val="none" w:sz="0" w:space="0" w:color="auto"/>
      </w:divBdr>
    </w:div>
    <w:div w:id="1159536489">
      <w:bodyDiv w:val="1"/>
      <w:marLeft w:val="0"/>
      <w:marRight w:val="0"/>
      <w:marTop w:val="0"/>
      <w:marBottom w:val="0"/>
      <w:divBdr>
        <w:top w:val="none" w:sz="0" w:space="0" w:color="auto"/>
        <w:left w:val="none" w:sz="0" w:space="0" w:color="auto"/>
        <w:bottom w:val="none" w:sz="0" w:space="0" w:color="auto"/>
        <w:right w:val="none" w:sz="0" w:space="0" w:color="auto"/>
      </w:divBdr>
      <w:divsChild>
        <w:div w:id="23554387">
          <w:marLeft w:val="0"/>
          <w:marRight w:val="0"/>
          <w:marTop w:val="0"/>
          <w:marBottom w:val="0"/>
          <w:divBdr>
            <w:top w:val="none" w:sz="0" w:space="0" w:color="auto"/>
            <w:left w:val="none" w:sz="0" w:space="0" w:color="auto"/>
            <w:bottom w:val="none" w:sz="0" w:space="0" w:color="auto"/>
            <w:right w:val="none" w:sz="0" w:space="0" w:color="auto"/>
          </w:divBdr>
        </w:div>
      </w:divsChild>
    </w:div>
    <w:div w:id="1185287424">
      <w:bodyDiv w:val="1"/>
      <w:marLeft w:val="0"/>
      <w:marRight w:val="0"/>
      <w:marTop w:val="0"/>
      <w:marBottom w:val="0"/>
      <w:divBdr>
        <w:top w:val="none" w:sz="0" w:space="0" w:color="auto"/>
        <w:left w:val="none" w:sz="0" w:space="0" w:color="auto"/>
        <w:bottom w:val="none" w:sz="0" w:space="0" w:color="auto"/>
        <w:right w:val="none" w:sz="0" w:space="0" w:color="auto"/>
      </w:divBdr>
    </w:div>
    <w:div w:id="1192106494">
      <w:bodyDiv w:val="1"/>
      <w:marLeft w:val="0"/>
      <w:marRight w:val="0"/>
      <w:marTop w:val="0"/>
      <w:marBottom w:val="0"/>
      <w:divBdr>
        <w:top w:val="none" w:sz="0" w:space="0" w:color="auto"/>
        <w:left w:val="none" w:sz="0" w:space="0" w:color="auto"/>
        <w:bottom w:val="none" w:sz="0" w:space="0" w:color="auto"/>
        <w:right w:val="none" w:sz="0" w:space="0" w:color="auto"/>
      </w:divBdr>
    </w:div>
    <w:div w:id="1213225818">
      <w:bodyDiv w:val="1"/>
      <w:marLeft w:val="0"/>
      <w:marRight w:val="0"/>
      <w:marTop w:val="0"/>
      <w:marBottom w:val="0"/>
      <w:divBdr>
        <w:top w:val="none" w:sz="0" w:space="0" w:color="auto"/>
        <w:left w:val="none" w:sz="0" w:space="0" w:color="auto"/>
        <w:bottom w:val="none" w:sz="0" w:space="0" w:color="auto"/>
        <w:right w:val="none" w:sz="0" w:space="0" w:color="auto"/>
      </w:divBdr>
    </w:div>
    <w:div w:id="1236939812">
      <w:bodyDiv w:val="1"/>
      <w:marLeft w:val="0"/>
      <w:marRight w:val="0"/>
      <w:marTop w:val="0"/>
      <w:marBottom w:val="0"/>
      <w:divBdr>
        <w:top w:val="none" w:sz="0" w:space="0" w:color="auto"/>
        <w:left w:val="none" w:sz="0" w:space="0" w:color="auto"/>
        <w:bottom w:val="none" w:sz="0" w:space="0" w:color="auto"/>
        <w:right w:val="none" w:sz="0" w:space="0" w:color="auto"/>
      </w:divBdr>
    </w:div>
    <w:div w:id="1267732466">
      <w:bodyDiv w:val="1"/>
      <w:marLeft w:val="0"/>
      <w:marRight w:val="0"/>
      <w:marTop w:val="0"/>
      <w:marBottom w:val="0"/>
      <w:divBdr>
        <w:top w:val="none" w:sz="0" w:space="0" w:color="auto"/>
        <w:left w:val="none" w:sz="0" w:space="0" w:color="auto"/>
        <w:bottom w:val="none" w:sz="0" w:space="0" w:color="auto"/>
        <w:right w:val="none" w:sz="0" w:space="0" w:color="auto"/>
      </w:divBdr>
    </w:div>
    <w:div w:id="1366365851">
      <w:bodyDiv w:val="1"/>
      <w:marLeft w:val="0"/>
      <w:marRight w:val="0"/>
      <w:marTop w:val="0"/>
      <w:marBottom w:val="0"/>
      <w:divBdr>
        <w:top w:val="none" w:sz="0" w:space="0" w:color="auto"/>
        <w:left w:val="none" w:sz="0" w:space="0" w:color="auto"/>
        <w:bottom w:val="none" w:sz="0" w:space="0" w:color="auto"/>
        <w:right w:val="none" w:sz="0" w:space="0" w:color="auto"/>
      </w:divBdr>
    </w:div>
    <w:div w:id="1394230072">
      <w:bodyDiv w:val="1"/>
      <w:marLeft w:val="0"/>
      <w:marRight w:val="0"/>
      <w:marTop w:val="0"/>
      <w:marBottom w:val="0"/>
      <w:divBdr>
        <w:top w:val="none" w:sz="0" w:space="0" w:color="auto"/>
        <w:left w:val="none" w:sz="0" w:space="0" w:color="auto"/>
        <w:bottom w:val="none" w:sz="0" w:space="0" w:color="auto"/>
        <w:right w:val="none" w:sz="0" w:space="0" w:color="auto"/>
      </w:divBdr>
    </w:div>
    <w:div w:id="1523516804">
      <w:bodyDiv w:val="1"/>
      <w:marLeft w:val="0"/>
      <w:marRight w:val="0"/>
      <w:marTop w:val="0"/>
      <w:marBottom w:val="0"/>
      <w:divBdr>
        <w:top w:val="none" w:sz="0" w:space="0" w:color="auto"/>
        <w:left w:val="none" w:sz="0" w:space="0" w:color="auto"/>
        <w:bottom w:val="none" w:sz="0" w:space="0" w:color="auto"/>
        <w:right w:val="none" w:sz="0" w:space="0" w:color="auto"/>
      </w:divBdr>
      <w:divsChild>
        <w:div w:id="1970554040">
          <w:marLeft w:val="0"/>
          <w:marRight w:val="0"/>
          <w:marTop w:val="0"/>
          <w:marBottom w:val="0"/>
          <w:divBdr>
            <w:top w:val="none" w:sz="0" w:space="0" w:color="auto"/>
            <w:left w:val="none" w:sz="0" w:space="0" w:color="auto"/>
            <w:bottom w:val="none" w:sz="0" w:space="0" w:color="auto"/>
            <w:right w:val="none" w:sz="0" w:space="0" w:color="auto"/>
          </w:divBdr>
        </w:div>
      </w:divsChild>
    </w:div>
    <w:div w:id="1600092244">
      <w:bodyDiv w:val="1"/>
      <w:marLeft w:val="0"/>
      <w:marRight w:val="0"/>
      <w:marTop w:val="0"/>
      <w:marBottom w:val="0"/>
      <w:divBdr>
        <w:top w:val="none" w:sz="0" w:space="0" w:color="auto"/>
        <w:left w:val="none" w:sz="0" w:space="0" w:color="auto"/>
        <w:bottom w:val="none" w:sz="0" w:space="0" w:color="auto"/>
        <w:right w:val="none" w:sz="0" w:space="0" w:color="auto"/>
      </w:divBdr>
    </w:div>
    <w:div w:id="1686713651">
      <w:bodyDiv w:val="1"/>
      <w:marLeft w:val="0"/>
      <w:marRight w:val="0"/>
      <w:marTop w:val="0"/>
      <w:marBottom w:val="0"/>
      <w:divBdr>
        <w:top w:val="none" w:sz="0" w:space="0" w:color="auto"/>
        <w:left w:val="none" w:sz="0" w:space="0" w:color="auto"/>
        <w:bottom w:val="none" w:sz="0" w:space="0" w:color="auto"/>
        <w:right w:val="none" w:sz="0" w:space="0" w:color="auto"/>
      </w:divBdr>
    </w:div>
    <w:div w:id="1836990818">
      <w:bodyDiv w:val="1"/>
      <w:marLeft w:val="0"/>
      <w:marRight w:val="0"/>
      <w:marTop w:val="0"/>
      <w:marBottom w:val="0"/>
      <w:divBdr>
        <w:top w:val="none" w:sz="0" w:space="0" w:color="auto"/>
        <w:left w:val="none" w:sz="0" w:space="0" w:color="auto"/>
        <w:bottom w:val="none" w:sz="0" w:space="0" w:color="auto"/>
        <w:right w:val="none" w:sz="0" w:space="0" w:color="auto"/>
      </w:divBdr>
    </w:div>
    <w:div w:id="1841002751">
      <w:bodyDiv w:val="1"/>
      <w:marLeft w:val="0"/>
      <w:marRight w:val="0"/>
      <w:marTop w:val="0"/>
      <w:marBottom w:val="0"/>
      <w:divBdr>
        <w:top w:val="none" w:sz="0" w:space="0" w:color="auto"/>
        <w:left w:val="none" w:sz="0" w:space="0" w:color="auto"/>
        <w:bottom w:val="none" w:sz="0" w:space="0" w:color="auto"/>
        <w:right w:val="none" w:sz="0" w:space="0" w:color="auto"/>
      </w:divBdr>
    </w:div>
    <w:div w:id="1843815186">
      <w:bodyDiv w:val="1"/>
      <w:marLeft w:val="0"/>
      <w:marRight w:val="0"/>
      <w:marTop w:val="0"/>
      <w:marBottom w:val="0"/>
      <w:divBdr>
        <w:top w:val="none" w:sz="0" w:space="0" w:color="auto"/>
        <w:left w:val="none" w:sz="0" w:space="0" w:color="auto"/>
        <w:bottom w:val="none" w:sz="0" w:space="0" w:color="auto"/>
        <w:right w:val="none" w:sz="0" w:space="0" w:color="auto"/>
      </w:divBdr>
      <w:divsChild>
        <w:div w:id="634069064">
          <w:marLeft w:val="0"/>
          <w:marRight w:val="0"/>
          <w:marTop w:val="0"/>
          <w:marBottom w:val="0"/>
          <w:divBdr>
            <w:top w:val="none" w:sz="0" w:space="0" w:color="auto"/>
            <w:left w:val="none" w:sz="0" w:space="0" w:color="auto"/>
            <w:bottom w:val="none" w:sz="0" w:space="0" w:color="auto"/>
            <w:right w:val="none" w:sz="0" w:space="0" w:color="auto"/>
          </w:divBdr>
        </w:div>
      </w:divsChild>
    </w:div>
    <w:div w:id="1860971056">
      <w:bodyDiv w:val="1"/>
      <w:marLeft w:val="0"/>
      <w:marRight w:val="0"/>
      <w:marTop w:val="0"/>
      <w:marBottom w:val="0"/>
      <w:divBdr>
        <w:top w:val="none" w:sz="0" w:space="0" w:color="auto"/>
        <w:left w:val="none" w:sz="0" w:space="0" w:color="auto"/>
        <w:bottom w:val="none" w:sz="0" w:space="0" w:color="auto"/>
        <w:right w:val="none" w:sz="0" w:space="0" w:color="auto"/>
      </w:divBdr>
    </w:div>
    <w:div w:id="1875926709">
      <w:bodyDiv w:val="1"/>
      <w:marLeft w:val="0"/>
      <w:marRight w:val="0"/>
      <w:marTop w:val="0"/>
      <w:marBottom w:val="0"/>
      <w:divBdr>
        <w:top w:val="none" w:sz="0" w:space="0" w:color="auto"/>
        <w:left w:val="none" w:sz="0" w:space="0" w:color="auto"/>
        <w:bottom w:val="none" w:sz="0" w:space="0" w:color="auto"/>
        <w:right w:val="none" w:sz="0" w:space="0" w:color="auto"/>
      </w:divBdr>
    </w:div>
    <w:div w:id="1888762809">
      <w:bodyDiv w:val="1"/>
      <w:marLeft w:val="0"/>
      <w:marRight w:val="0"/>
      <w:marTop w:val="0"/>
      <w:marBottom w:val="0"/>
      <w:divBdr>
        <w:top w:val="none" w:sz="0" w:space="0" w:color="auto"/>
        <w:left w:val="none" w:sz="0" w:space="0" w:color="auto"/>
        <w:bottom w:val="none" w:sz="0" w:space="0" w:color="auto"/>
        <w:right w:val="none" w:sz="0" w:space="0" w:color="auto"/>
      </w:divBdr>
    </w:div>
    <w:div w:id="1926986644">
      <w:bodyDiv w:val="1"/>
      <w:marLeft w:val="0"/>
      <w:marRight w:val="0"/>
      <w:marTop w:val="0"/>
      <w:marBottom w:val="0"/>
      <w:divBdr>
        <w:top w:val="none" w:sz="0" w:space="0" w:color="auto"/>
        <w:left w:val="none" w:sz="0" w:space="0" w:color="auto"/>
        <w:bottom w:val="none" w:sz="0" w:space="0" w:color="auto"/>
        <w:right w:val="none" w:sz="0" w:space="0" w:color="auto"/>
      </w:divBdr>
    </w:div>
    <w:div w:id="2011058415">
      <w:bodyDiv w:val="1"/>
      <w:marLeft w:val="0"/>
      <w:marRight w:val="0"/>
      <w:marTop w:val="0"/>
      <w:marBottom w:val="0"/>
      <w:divBdr>
        <w:top w:val="none" w:sz="0" w:space="0" w:color="auto"/>
        <w:left w:val="none" w:sz="0" w:space="0" w:color="auto"/>
        <w:bottom w:val="none" w:sz="0" w:space="0" w:color="auto"/>
        <w:right w:val="none" w:sz="0" w:space="0" w:color="auto"/>
      </w:divBdr>
      <w:divsChild>
        <w:div w:id="1101998896">
          <w:marLeft w:val="0"/>
          <w:marRight w:val="0"/>
          <w:marTop w:val="0"/>
          <w:marBottom w:val="0"/>
          <w:divBdr>
            <w:top w:val="none" w:sz="0" w:space="0" w:color="auto"/>
            <w:left w:val="none" w:sz="0" w:space="0" w:color="auto"/>
            <w:bottom w:val="none" w:sz="0" w:space="0" w:color="auto"/>
            <w:right w:val="none" w:sz="0" w:space="0" w:color="auto"/>
          </w:divBdr>
        </w:div>
      </w:divsChild>
    </w:div>
    <w:div w:id="2081899121">
      <w:bodyDiv w:val="1"/>
      <w:marLeft w:val="0"/>
      <w:marRight w:val="0"/>
      <w:marTop w:val="0"/>
      <w:marBottom w:val="0"/>
      <w:divBdr>
        <w:top w:val="none" w:sz="0" w:space="0" w:color="auto"/>
        <w:left w:val="none" w:sz="0" w:space="0" w:color="auto"/>
        <w:bottom w:val="none" w:sz="0" w:space="0" w:color="auto"/>
        <w:right w:val="none" w:sz="0" w:space="0" w:color="auto"/>
      </w:divBdr>
    </w:div>
    <w:div w:id="2084716998">
      <w:bodyDiv w:val="1"/>
      <w:marLeft w:val="0"/>
      <w:marRight w:val="0"/>
      <w:marTop w:val="0"/>
      <w:marBottom w:val="0"/>
      <w:divBdr>
        <w:top w:val="none" w:sz="0" w:space="0" w:color="auto"/>
        <w:left w:val="none" w:sz="0" w:space="0" w:color="auto"/>
        <w:bottom w:val="none" w:sz="0" w:space="0" w:color="auto"/>
        <w:right w:val="none" w:sz="0" w:space="0" w:color="auto"/>
      </w:divBdr>
    </w:div>
    <w:div w:id="21047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healthcare11070959" TargetMode="External"/><Relationship Id="rId13" Type="http://schemas.openxmlformats.org/officeDocument/2006/relationships/hyperlink" Target="https://doi.org/10.1136/bmj.k238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07421222.2003.11045748" TargetMode="External"/><Relationship Id="rId12" Type="http://schemas.openxmlformats.org/officeDocument/2006/relationships/hyperlink" Target="https://doi.org/10.1056/NEJMp2005835" TargetMode="External"/><Relationship Id="rId17" Type="http://schemas.openxmlformats.org/officeDocument/2006/relationships/hyperlink" Target="https://doi.org/10.1016/j.apergo.2013.07.004" TargetMode="External"/><Relationship Id="rId2" Type="http://schemas.openxmlformats.org/officeDocument/2006/relationships/styles" Target="styles.xml"/><Relationship Id="rId16" Type="http://schemas.openxmlformats.org/officeDocument/2006/relationships/hyperlink" Target="https://www.england.nhs.uk/digitaltechnology/connecteddigitalsystems/exemplars/global-digital-exemplars-case-studies/digital-monitoring/" TargetMode="External"/><Relationship Id="rId1" Type="http://schemas.openxmlformats.org/officeDocument/2006/relationships/numbering" Target="numbering.xml"/><Relationship Id="rId6" Type="http://schemas.openxmlformats.org/officeDocument/2006/relationships/hyperlink" Target="https://doi.org/10.2307/249008" TargetMode="External"/><Relationship Id="rId11" Type="http://schemas.openxmlformats.org/officeDocument/2006/relationships/hyperlink" Target="https://doi.org/10.1016/j.jbi.2009.07.002" TargetMode="External"/><Relationship Id="rId5" Type="http://schemas.openxmlformats.org/officeDocument/2006/relationships/hyperlink" Target="https://doi.org/10.7861/futurehosp.2-1-50" TargetMode="External"/><Relationship Id="rId15" Type="http://schemas.openxmlformats.org/officeDocument/2006/relationships/hyperlink" Target="https://www.england.nhs.uk/digitaltechnology/connecteddigitalsystems/exemplars/" TargetMode="External"/><Relationship Id="rId10" Type="http://schemas.openxmlformats.org/officeDocument/2006/relationships/hyperlink" Target="https://doi.org/10.1136/bmjopen-2010-0000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j.1468-0009.2009.00578.x" TargetMode="External"/><Relationship Id="rId14" Type="http://schemas.openxmlformats.org/officeDocument/2006/relationships/hyperlink" Target="https://digital.nhs.uk/services/sp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11</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Mnangagwa, Mavis P</dc:creator>
  <cp:keywords/>
  <dc:description/>
  <cp:lastModifiedBy>Mnangagwa, Mavis P</cp:lastModifiedBy>
  <cp:revision>95</cp:revision>
  <dcterms:created xsi:type="dcterms:W3CDTF">2025-06-03T14:42:00Z</dcterms:created>
  <dcterms:modified xsi:type="dcterms:W3CDTF">2025-06-16T19:23:00Z</dcterms:modified>
</cp:coreProperties>
</file>